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FA6" w14:textId="77777777" w:rsidR="00E87096" w:rsidRDefault="00E87096" w:rsidP="00E87096">
      <w:pPr>
        <w:pStyle w:val="af3"/>
        <w:tabs>
          <w:tab w:val="left" w:pos="5103"/>
          <w:tab w:val="left" w:pos="6480"/>
        </w:tabs>
        <w:spacing w:after="0" w:line="280" w:lineRule="exact"/>
        <w:ind w:left="0" w:right="4536"/>
        <w:rPr>
          <w:szCs w:val="30"/>
        </w:rPr>
      </w:pPr>
      <w:r>
        <w:rPr>
          <w:szCs w:val="30"/>
        </w:rPr>
        <w:t xml:space="preserve">Комментарий </w:t>
      </w:r>
    </w:p>
    <w:p w14:paraId="1B21D82A" w14:textId="1C9027C0" w:rsidR="00F3105C" w:rsidRDefault="00E87096" w:rsidP="00E87096">
      <w:pPr>
        <w:tabs>
          <w:tab w:val="left" w:pos="4111"/>
          <w:tab w:val="left" w:pos="5103"/>
          <w:tab w:val="left" w:pos="7938"/>
          <w:tab w:val="left" w:pos="8505"/>
        </w:tabs>
        <w:spacing w:line="280" w:lineRule="exact"/>
        <w:ind w:right="4536"/>
        <w:jc w:val="both"/>
      </w:pPr>
      <w:r>
        <w:rPr>
          <w:szCs w:val="30"/>
        </w:rPr>
        <w:t xml:space="preserve">к постановлению </w:t>
      </w:r>
      <w:r>
        <w:t xml:space="preserve">Совета Министров Республики Беларусь и Национального банка Республики Беларусь </w:t>
      </w:r>
      <w:r w:rsidR="00495B92">
        <w:t xml:space="preserve">от </w:t>
      </w:r>
      <w:r w:rsidR="00866B24">
        <w:br/>
      </w:r>
      <w:r w:rsidR="00495B92">
        <w:t xml:space="preserve">7 декабря 2022 г. № 841/27 </w:t>
      </w:r>
      <w:r w:rsidR="00866B24">
        <w:br/>
      </w:r>
      <w:r w:rsidR="00F3105C">
        <w:rPr>
          <w:szCs w:val="30"/>
        </w:rPr>
        <w:t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</w:t>
      </w:r>
    </w:p>
    <w:p w14:paraId="1EA5E504" w14:textId="77777777" w:rsidR="00E87096" w:rsidRDefault="00E87096" w:rsidP="00E87096">
      <w:pPr>
        <w:tabs>
          <w:tab w:val="left" w:pos="5103"/>
        </w:tabs>
        <w:spacing w:line="360" w:lineRule="auto"/>
        <w:ind w:firstLine="709"/>
        <w:jc w:val="both"/>
        <w:rPr>
          <w:spacing w:val="-4"/>
          <w:szCs w:val="30"/>
        </w:rPr>
      </w:pPr>
    </w:p>
    <w:p w14:paraId="02B117F9" w14:textId="3C0A8833" w:rsidR="00495B92" w:rsidRPr="00765AE4" w:rsidRDefault="00F3105C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Постановление Совета Министров Республики Беларусь и Национального банка Республики Беларусь </w:t>
      </w:r>
      <w:r w:rsidR="00495B92" w:rsidRPr="00765AE4">
        <w:rPr>
          <w:szCs w:val="30"/>
        </w:rPr>
        <w:t xml:space="preserve">от 7 декабря 2022 г. № 841/27 </w:t>
      </w:r>
      <w:r w:rsidRPr="00765AE4">
        <w:rPr>
          <w:szCs w:val="30"/>
        </w:rPr>
        <w:t xml:space="preserve"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 </w:t>
      </w:r>
      <w:r w:rsidR="00303F1F" w:rsidRPr="00765AE4">
        <w:rPr>
          <w:szCs w:val="30"/>
        </w:rPr>
        <w:t>(далее – постановление</w:t>
      </w:r>
      <w:r w:rsidR="0073406C" w:rsidRPr="00765AE4">
        <w:rPr>
          <w:szCs w:val="30"/>
        </w:rPr>
        <w:t xml:space="preserve"> № 841/27</w:t>
      </w:r>
      <w:r w:rsidR="00303F1F" w:rsidRPr="00765AE4">
        <w:rPr>
          <w:szCs w:val="30"/>
        </w:rPr>
        <w:t xml:space="preserve">) </w:t>
      </w:r>
      <w:r w:rsidRPr="00765AE4">
        <w:rPr>
          <w:szCs w:val="30"/>
        </w:rPr>
        <w:t>принято в целях</w:t>
      </w:r>
      <w:r w:rsidR="0073406C" w:rsidRPr="00765AE4">
        <w:rPr>
          <w:szCs w:val="30"/>
        </w:rPr>
        <w:t>:</w:t>
      </w:r>
      <w:r w:rsidR="00303F1F" w:rsidRPr="00765AE4">
        <w:rPr>
          <w:szCs w:val="30"/>
        </w:rPr>
        <w:t xml:space="preserve"> </w:t>
      </w:r>
    </w:p>
    <w:p w14:paraId="219CFDAD" w14:textId="15ED191E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19 апреля 2022 г. № 164-З </w:t>
      </w:r>
      <w:r w:rsidRPr="00765AE4">
        <w:rPr>
          <w:spacing w:val="-13"/>
          <w:szCs w:val="30"/>
        </w:rPr>
        <w:br/>
      </w:r>
      <w:bookmarkStart w:id="0" w:name="_Hlk120712858"/>
      <w:r w:rsidRPr="00765AE4">
        <w:rPr>
          <w:spacing w:val="-13"/>
          <w:szCs w:val="30"/>
        </w:rPr>
        <w:t>«О платежных системах и платежных услугах</w:t>
      </w:r>
      <w:bookmarkEnd w:id="0"/>
      <w:r w:rsidRPr="00765AE4">
        <w:rPr>
          <w:spacing w:val="-13"/>
          <w:szCs w:val="30"/>
        </w:rPr>
        <w:t xml:space="preserve">» </w:t>
      </w:r>
      <w:r w:rsidRPr="00765AE4">
        <w:rPr>
          <w:color w:val="000000"/>
          <w:szCs w:val="30"/>
        </w:rPr>
        <w:t>(далее – Закон № 164-З)</w:t>
      </w:r>
      <w:r w:rsidRPr="00765AE4">
        <w:rPr>
          <w:spacing w:val="-13"/>
          <w:szCs w:val="30"/>
        </w:rPr>
        <w:t>;</w:t>
      </w:r>
    </w:p>
    <w:p w14:paraId="1EBCAB58" w14:textId="6C9AABC9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18 июля 2022 г. № 196-З </w:t>
      </w:r>
      <w:r w:rsidRPr="00765AE4">
        <w:rPr>
          <w:spacing w:val="-13"/>
          <w:szCs w:val="30"/>
        </w:rPr>
        <w:br/>
        <w:t xml:space="preserve">«Об изменении Закона Республики Беларусь «Об автомобильном транспорте и автомобильных перевозках» </w:t>
      </w:r>
      <w:r w:rsidRPr="00765AE4">
        <w:rPr>
          <w:szCs w:val="30"/>
        </w:rPr>
        <w:t>(далее – Закон № 196-З)</w:t>
      </w:r>
      <w:r w:rsidRPr="00765AE4">
        <w:rPr>
          <w:spacing w:val="-13"/>
          <w:szCs w:val="30"/>
        </w:rPr>
        <w:t>;</w:t>
      </w:r>
    </w:p>
    <w:p w14:paraId="616A7107" w14:textId="2F5F3363" w:rsidR="0073406C" w:rsidRPr="00765AE4" w:rsidRDefault="0073406C" w:rsidP="00765AE4">
      <w:pPr>
        <w:ind w:firstLine="709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>обеспечения учета реализации маркированных средствами идентификации и унифицированными контрольными знаками товаров в розничной торговле.</w:t>
      </w:r>
    </w:p>
    <w:p w14:paraId="411214FE" w14:textId="51D95566" w:rsidR="00866B24" w:rsidRDefault="00341DAC" w:rsidP="00341DAC">
      <w:pPr>
        <w:ind w:firstLine="709"/>
        <w:jc w:val="both"/>
        <w:rPr>
          <w:szCs w:val="30"/>
        </w:rPr>
      </w:pPr>
      <w:r w:rsidRPr="00341DAC">
        <w:rPr>
          <w:szCs w:val="30"/>
        </w:rPr>
        <w:t xml:space="preserve">1. </w:t>
      </w:r>
      <w:r w:rsidR="0073406C" w:rsidRPr="00341DAC">
        <w:rPr>
          <w:szCs w:val="30"/>
        </w:rPr>
        <w:t xml:space="preserve">Постановлением № 841/27 </w:t>
      </w:r>
      <w:r w:rsidR="0073406C" w:rsidRPr="00866B24">
        <w:rPr>
          <w:b/>
          <w:szCs w:val="30"/>
        </w:rPr>
        <w:t>у</w:t>
      </w:r>
      <w:r w:rsidR="0073406C" w:rsidRPr="00866B24">
        <w:rPr>
          <w:b/>
          <w:spacing w:val="-13"/>
          <w:szCs w:val="30"/>
        </w:rPr>
        <w:t xml:space="preserve">точнен </w:t>
      </w:r>
      <w:r w:rsidR="00866B24" w:rsidRPr="00866B24">
        <w:rPr>
          <w:b/>
          <w:spacing w:val="-13"/>
          <w:szCs w:val="30"/>
        </w:rPr>
        <w:t xml:space="preserve">и расширен </w:t>
      </w:r>
      <w:r w:rsidR="0073406C" w:rsidRPr="00866B24">
        <w:rPr>
          <w:b/>
          <w:spacing w:val="-13"/>
          <w:szCs w:val="30"/>
        </w:rPr>
        <w:t xml:space="preserve">понятийный </w:t>
      </w:r>
      <w:r w:rsidR="00866B24" w:rsidRPr="00866B24">
        <w:rPr>
          <w:b/>
          <w:spacing w:val="-13"/>
          <w:szCs w:val="30"/>
        </w:rPr>
        <w:t>аппарат</w:t>
      </w:r>
      <w:r w:rsidR="00866B24">
        <w:rPr>
          <w:spacing w:val="-13"/>
          <w:szCs w:val="30"/>
        </w:rPr>
        <w:t xml:space="preserve"> </w:t>
      </w:r>
      <w:r w:rsidR="0073406C" w:rsidRPr="00341DAC">
        <w:rPr>
          <w:spacing w:val="-13"/>
          <w:szCs w:val="30"/>
        </w:rPr>
        <w:t xml:space="preserve">применяемый в постановлении </w:t>
      </w:r>
      <w:r w:rsidR="0073406C" w:rsidRPr="00341DAC">
        <w:rPr>
          <w:szCs w:val="30"/>
        </w:rPr>
        <w:t xml:space="preserve">Совета Министров Республики Беларусь и Национального банка Республики Беларусь от 6 июля 2011 г. </w:t>
      </w:r>
      <w:r w:rsidR="00866B24">
        <w:rPr>
          <w:szCs w:val="30"/>
        </w:rPr>
        <w:br/>
      </w:r>
      <w:r w:rsidR="0073406C" w:rsidRPr="00341DAC">
        <w:rPr>
          <w:szCs w:val="30"/>
        </w:rPr>
        <w:t xml:space="preserve">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(далее – постановление № 924/16, Положение № 924/16) </w:t>
      </w:r>
      <w:r w:rsidR="0073406C" w:rsidRPr="007972AA">
        <w:rPr>
          <w:szCs w:val="30"/>
        </w:rPr>
        <w:t>с учетом терминологии установленной  Законом № 164-З</w:t>
      </w:r>
      <w:r w:rsidR="002043D8" w:rsidRPr="007972AA">
        <w:rPr>
          <w:szCs w:val="30"/>
        </w:rPr>
        <w:t xml:space="preserve"> и </w:t>
      </w:r>
      <w:r w:rsidR="002043D8" w:rsidRPr="00765AE4">
        <w:rPr>
          <w:szCs w:val="30"/>
        </w:rPr>
        <w:t>Закон</w:t>
      </w:r>
      <w:r w:rsidR="002043D8">
        <w:rPr>
          <w:szCs w:val="30"/>
        </w:rPr>
        <w:t>ом</w:t>
      </w:r>
      <w:r w:rsidR="002043D8" w:rsidRPr="00765AE4">
        <w:rPr>
          <w:szCs w:val="30"/>
        </w:rPr>
        <w:t xml:space="preserve"> № 196-З</w:t>
      </w:r>
      <w:r w:rsidR="002043D8">
        <w:rPr>
          <w:szCs w:val="30"/>
        </w:rPr>
        <w:t xml:space="preserve">. </w:t>
      </w:r>
    </w:p>
    <w:p w14:paraId="430B785C" w14:textId="5B85DAA2" w:rsidR="0073406C" w:rsidRPr="007972AA" w:rsidRDefault="002043D8" w:rsidP="00341DAC">
      <w:pPr>
        <w:ind w:firstLine="709"/>
        <w:jc w:val="both"/>
        <w:rPr>
          <w:szCs w:val="30"/>
        </w:rPr>
      </w:pPr>
      <w:r>
        <w:rPr>
          <w:szCs w:val="30"/>
        </w:rPr>
        <w:t>Так, в частности,</w:t>
      </w:r>
      <w:r w:rsidR="0073406C" w:rsidRPr="007972AA">
        <w:rPr>
          <w:szCs w:val="30"/>
        </w:rPr>
        <w:t xml:space="preserve"> введены новые термины и их определения</w:t>
      </w:r>
      <w:r w:rsidR="00900E16" w:rsidRPr="007972AA">
        <w:rPr>
          <w:szCs w:val="30"/>
        </w:rPr>
        <w:t xml:space="preserve"> (</w:t>
      </w:r>
      <w:r w:rsidR="0073406C" w:rsidRPr="007972AA">
        <w:rPr>
          <w:szCs w:val="30"/>
        </w:rPr>
        <w:t>иные платежные инструменты, карточный платежный терминал, платежи в свой адрес, платежи в адрес третьих лиц, платежный терминал</w:t>
      </w:r>
      <w:r w:rsidR="00900E16" w:rsidRPr="007972AA">
        <w:rPr>
          <w:szCs w:val="30"/>
        </w:rPr>
        <w:t>), п</w:t>
      </w:r>
      <w:r w:rsidR="0073406C" w:rsidRPr="007972AA">
        <w:rPr>
          <w:szCs w:val="30"/>
        </w:rPr>
        <w:t>редусмотрено использование терминов «банковская платежная карточка», «платеж», «платежная услуга», «платежный агрегатор», «средства платежа», «эквайр</w:t>
      </w:r>
      <w:r w:rsidR="003E2995">
        <w:rPr>
          <w:szCs w:val="30"/>
        </w:rPr>
        <w:t>инг платежных операций»</w:t>
      </w:r>
      <w:r w:rsidR="0073406C" w:rsidRPr="007972AA">
        <w:rPr>
          <w:szCs w:val="30"/>
        </w:rPr>
        <w:t>, данных в Законе № 164-З</w:t>
      </w:r>
      <w:r w:rsidR="00900E16" w:rsidRPr="007972AA">
        <w:rPr>
          <w:szCs w:val="30"/>
        </w:rPr>
        <w:t xml:space="preserve">, </w:t>
      </w:r>
      <w:r w:rsidR="0073406C" w:rsidRPr="007972AA">
        <w:rPr>
          <w:szCs w:val="30"/>
        </w:rPr>
        <w:t>«элек</w:t>
      </w:r>
      <w:r w:rsidR="003E2995">
        <w:rPr>
          <w:szCs w:val="30"/>
        </w:rPr>
        <w:t xml:space="preserve">тронная информационная система» </w:t>
      </w:r>
      <w:r w:rsidR="0073406C" w:rsidRPr="007972AA">
        <w:rPr>
          <w:szCs w:val="30"/>
        </w:rPr>
        <w:t xml:space="preserve">в значении, определенном в статье 1 </w:t>
      </w:r>
      <w:r w:rsidR="00900E16" w:rsidRPr="007972AA">
        <w:rPr>
          <w:szCs w:val="30"/>
        </w:rPr>
        <w:t>Закона Республики Беларусь от 14 августа 2007 г. № 278-З «Об автомобильном транспорте и автомобильных перевозках».</w:t>
      </w:r>
      <w:r w:rsidR="0073406C" w:rsidRPr="007972AA">
        <w:rPr>
          <w:szCs w:val="30"/>
        </w:rPr>
        <w:t xml:space="preserve"> </w:t>
      </w:r>
    </w:p>
    <w:p w14:paraId="69DEC971" w14:textId="58475436" w:rsidR="00900E16" w:rsidRDefault="00900E16" w:rsidP="007972AA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С учетом </w:t>
      </w:r>
      <w:r w:rsidR="002043D8">
        <w:rPr>
          <w:szCs w:val="30"/>
        </w:rPr>
        <w:t xml:space="preserve">определения </w:t>
      </w:r>
      <w:r w:rsidRPr="00765AE4">
        <w:rPr>
          <w:szCs w:val="30"/>
        </w:rPr>
        <w:t>термина «платеж», приведенного</w:t>
      </w:r>
      <w:r w:rsidRPr="007972AA">
        <w:rPr>
          <w:szCs w:val="30"/>
        </w:rPr>
        <w:t xml:space="preserve"> </w:t>
      </w:r>
      <w:r w:rsidRPr="00765AE4">
        <w:rPr>
          <w:szCs w:val="30"/>
        </w:rPr>
        <w:t xml:space="preserve">в Законе </w:t>
      </w:r>
      <w:r w:rsidR="002043D8">
        <w:rPr>
          <w:szCs w:val="30"/>
        </w:rPr>
        <w:br/>
      </w:r>
      <w:r w:rsidRPr="00765AE4">
        <w:rPr>
          <w:szCs w:val="30"/>
        </w:rPr>
        <w:t xml:space="preserve">№ 164, </w:t>
      </w:r>
      <w:r w:rsidR="002043D8">
        <w:rPr>
          <w:szCs w:val="30"/>
        </w:rPr>
        <w:t xml:space="preserve">в соответствии с которым под </w:t>
      </w:r>
      <w:r w:rsidR="002043D8" w:rsidRPr="002043D8">
        <w:rPr>
          <w:szCs w:val="30"/>
        </w:rPr>
        <w:t>платеж</w:t>
      </w:r>
      <w:r w:rsidR="002043D8">
        <w:rPr>
          <w:szCs w:val="30"/>
        </w:rPr>
        <w:t>ом</w:t>
      </w:r>
      <w:r w:rsidR="002043D8" w:rsidRPr="002043D8">
        <w:rPr>
          <w:szCs w:val="30"/>
        </w:rPr>
        <w:t xml:space="preserve"> </w:t>
      </w:r>
      <w:r w:rsidR="002043D8">
        <w:rPr>
          <w:szCs w:val="30"/>
        </w:rPr>
        <w:t xml:space="preserve">понимается </w:t>
      </w:r>
      <w:r w:rsidR="002043D8" w:rsidRPr="007972AA">
        <w:rPr>
          <w:b/>
          <w:szCs w:val="30"/>
        </w:rPr>
        <w:t>процесс исполнения</w:t>
      </w:r>
      <w:r w:rsidR="002043D8" w:rsidRPr="002043D8">
        <w:rPr>
          <w:szCs w:val="30"/>
        </w:rPr>
        <w:t xml:space="preserve"> инициатором платежа, поставщиком платежных услуг, получателем платежа денежных обязательств с использованием платежных инструментов и (или) средств платежа</w:t>
      </w:r>
      <w:r w:rsidR="002043D8">
        <w:rPr>
          <w:szCs w:val="30"/>
        </w:rPr>
        <w:t xml:space="preserve">, </w:t>
      </w:r>
      <w:r w:rsidRPr="00765AE4">
        <w:rPr>
          <w:szCs w:val="30"/>
        </w:rPr>
        <w:t xml:space="preserve">в постановлении № 924/16 и </w:t>
      </w:r>
      <w:r w:rsidRPr="00765AE4">
        <w:rPr>
          <w:szCs w:val="30"/>
        </w:rPr>
        <w:lastRenderedPageBreak/>
        <w:t xml:space="preserve">Положении № 924/16 вместо термина «средство платежа» применяются термины </w:t>
      </w:r>
      <w:r w:rsidRPr="00765AE4">
        <w:rPr>
          <w:b/>
          <w:bCs/>
          <w:szCs w:val="30"/>
        </w:rPr>
        <w:t xml:space="preserve">«платеж в свой адрес» </w:t>
      </w:r>
      <w:r w:rsidRPr="00765AE4">
        <w:rPr>
          <w:szCs w:val="30"/>
        </w:rPr>
        <w:t xml:space="preserve">либо </w:t>
      </w:r>
      <w:r w:rsidRPr="00765AE4">
        <w:rPr>
          <w:b/>
          <w:bCs/>
          <w:szCs w:val="30"/>
        </w:rPr>
        <w:t>«платеж в адрес третьих лиц»</w:t>
      </w:r>
      <w:r w:rsidRPr="00765AE4">
        <w:rPr>
          <w:szCs w:val="30"/>
        </w:rPr>
        <w:t>.</w:t>
      </w:r>
    </w:p>
    <w:p w14:paraId="3CDCDF2F" w14:textId="233C0B8F" w:rsidR="002043D8" w:rsidRDefault="002043D8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 xml:space="preserve">Указанные нормы вступают в силу </w:t>
      </w:r>
      <w:r w:rsidRPr="00765AE4">
        <w:rPr>
          <w:szCs w:val="30"/>
        </w:rPr>
        <w:t>после официального опубликования постановления № 841/27</w:t>
      </w:r>
      <w:r>
        <w:rPr>
          <w:szCs w:val="30"/>
        </w:rPr>
        <w:t xml:space="preserve"> (с 10.12.2022).</w:t>
      </w:r>
    </w:p>
    <w:p w14:paraId="404239DD" w14:textId="6595B6B8" w:rsidR="00900E16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r w:rsidR="00900E16" w:rsidRPr="00765AE4">
        <w:rPr>
          <w:szCs w:val="30"/>
        </w:rPr>
        <w:t>В соответствии с Законом № 196-З постановлением № 841/27:</w:t>
      </w:r>
    </w:p>
    <w:p w14:paraId="61FFEF89" w14:textId="47B2A6C1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установлена обязанность использования кассовых суммирующих аппаратов, совмещенных с таксометром, с установленным средством контроля налоговых органов (далее – СКНО), или </w:t>
      </w:r>
      <w:r w:rsidRPr="00765AE4">
        <w:rPr>
          <w:b/>
          <w:bCs/>
          <w:szCs w:val="30"/>
        </w:rPr>
        <w:t xml:space="preserve">программных касс </w:t>
      </w:r>
      <w:r w:rsidRPr="00765AE4">
        <w:rPr>
          <w:szCs w:val="30"/>
        </w:rPr>
        <w:t>при выполнении автомобильной перевозки пассажиров автомобилями-такси (за исключением автомобильных перевозок пассажиров автомобилями-такси, заказанных и оплаченных посредством электронной информационной системы только с использованием реквизитов банковских платежных карточек);</w:t>
      </w:r>
    </w:p>
    <w:p w14:paraId="32953C41" w14:textId="77777777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предусмотрена </w:t>
      </w:r>
      <w:r w:rsidRPr="002043D8">
        <w:rPr>
          <w:szCs w:val="30"/>
        </w:rPr>
        <w:t>возможность неиспользования кассового оборудования и (или) карточных платежных терминалов</w:t>
      </w:r>
      <w:r w:rsidRPr="00765AE4">
        <w:rPr>
          <w:szCs w:val="30"/>
        </w:rPr>
        <w:t xml:space="preserve"> юридическим лицам и индивидуальным предпринимателям, принимающим платежи в свой адрес в безналичной форме </w:t>
      </w:r>
      <w:r w:rsidRPr="002043D8">
        <w:rPr>
          <w:szCs w:val="30"/>
        </w:rPr>
        <w:t>за услуги по автомобильным перевозкам пассажиров автомобилями-такси,</w:t>
      </w:r>
      <w:r w:rsidRPr="00765AE4">
        <w:rPr>
          <w:b/>
          <w:bCs/>
          <w:szCs w:val="30"/>
        </w:rPr>
        <w:t xml:space="preserve"> </w:t>
      </w:r>
      <w:r w:rsidRPr="002043D8">
        <w:rPr>
          <w:szCs w:val="30"/>
        </w:rPr>
        <w:t>заказанным и оплаченным посредством</w:t>
      </w:r>
      <w:r w:rsidRPr="00765AE4">
        <w:rPr>
          <w:b/>
          <w:bCs/>
          <w:szCs w:val="30"/>
        </w:rPr>
        <w:t xml:space="preserve"> электронной информационной системы только с использованием реквизитов банковских платежных карточек</w:t>
      </w:r>
      <w:r w:rsidRPr="00765AE4">
        <w:rPr>
          <w:szCs w:val="30"/>
        </w:rPr>
        <w:t>.</w:t>
      </w:r>
    </w:p>
    <w:p w14:paraId="36E8186E" w14:textId="77777777" w:rsidR="00D260D0" w:rsidRPr="00765AE4" w:rsidRDefault="00D260D0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>Указанные нормы вступают в силу с 22.07.2023 (даты вступления в силу соответствующих положений Закона № 196-З).</w:t>
      </w:r>
    </w:p>
    <w:p w14:paraId="34F16358" w14:textId="234B3082" w:rsidR="00D260D0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3. </w:t>
      </w:r>
      <w:r w:rsidR="00D260D0" w:rsidRPr="00765AE4">
        <w:rPr>
          <w:szCs w:val="30"/>
        </w:rPr>
        <w:t xml:space="preserve">Постановлением № 841/27 </w:t>
      </w:r>
      <w:r>
        <w:rPr>
          <w:szCs w:val="30"/>
        </w:rPr>
        <w:t>в</w:t>
      </w:r>
      <w:r w:rsidRPr="00765AE4">
        <w:rPr>
          <w:szCs w:val="30"/>
        </w:rPr>
        <w:t xml:space="preserve"> Положение № 924/16 </w:t>
      </w:r>
      <w:r w:rsidRPr="00955433">
        <w:rPr>
          <w:b/>
          <w:szCs w:val="30"/>
        </w:rPr>
        <w:t>включена глава 8</w:t>
      </w:r>
      <w:r>
        <w:rPr>
          <w:szCs w:val="30"/>
        </w:rPr>
        <w:t xml:space="preserve">, предусматривающая особенности приема платежей </w:t>
      </w:r>
      <w:r w:rsidRPr="00765AE4">
        <w:rPr>
          <w:szCs w:val="30"/>
        </w:rPr>
        <w:t>юридическим</w:t>
      </w:r>
      <w:r>
        <w:rPr>
          <w:szCs w:val="30"/>
        </w:rPr>
        <w:t>и</w:t>
      </w:r>
      <w:r w:rsidRPr="00765AE4">
        <w:rPr>
          <w:szCs w:val="30"/>
        </w:rPr>
        <w:t xml:space="preserve"> лицам</w:t>
      </w:r>
      <w:r>
        <w:rPr>
          <w:szCs w:val="30"/>
        </w:rPr>
        <w:t>и</w:t>
      </w:r>
      <w:r w:rsidRPr="00765AE4">
        <w:rPr>
          <w:szCs w:val="30"/>
        </w:rPr>
        <w:t xml:space="preserve"> и индивидуальным</w:t>
      </w:r>
      <w:r>
        <w:rPr>
          <w:szCs w:val="30"/>
        </w:rPr>
        <w:t>и</w:t>
      </w:r>
      <w:r w:rsidRPr="00765AE4">
        <w:rPr>
          <w:szCs w:val="30"/>
        </w:rPr>
        <w:t xml:space="preserve"> предпринимателям</w:t>
      </w:r>
      <w:r>
        <w:rPr>
          <w:szCs w:val="30"/>
        </w:rPr>
        <w:t xml:space="preserve">и, являющимися </w:t>
      </w:r>
      <w:r w:rsidRPr="00765AE4">
        <w:rPr>
          <w:szCs w:val="30"/>
        </w:rPr>
        <w:t>владельц</w:t>
      </w:r>
      <w:r>
        <w:rPr>
          <w:szCs w:val="30"/>
        </w:rPr>
        <w:t>ами</w:t>
      </w:r>
      <w:r w:rsidRPr="00765AE4">
        <w:rPr>
          <w:szCs w:val="30"/>
        </w:rPr>
        <w:t xml:space="preserve"> электронных информационных систем</w:t>
      </w:r>
      <w:r>
        <w:rPr>
          <w:szCs w:val="30"/>
        </w:rPr>
        <w:t xml:space="preserve">. </w:t>
      </w:r>
      <w:r w:rsidR="007E0B68">
        <w:rPr>
          <w:szCs w:val="30"/>
        </w:rPr>
        <w:t xml:space="preserve">Так, </w:t>
      </w:r>
      <w:r w:rsidR="00D260D0" w:rsidRPr="00765AE4">
        <w:rPr>
          <w:szCs w:val="30"/>
        </w:rPr>
        <w:t>для владельцев электронных информационных систем</w:t>
      </w:r>
      <w:r w:rsidR="00B031F9">
        <w:rPr>
          <w:szCs w:val="30"/>
        </w:rPr>
        <w:t xml:space="preserve"> </w:t>
      </w:r>
      <w:r w:rsidR="00B031F9" w:rsidRPr="00765AE4">
        <w:rPr>
          <w:szCs w:val="30"/>
        </w:rPr>
        <w:t>введена обязанность</w:t>
      </w:r>
      <w:r w:rsidR="00D260D0" w:rsidRPr="00765AE4">
        <w:rPr>
          <w:szCs w:val="30"/>
        </w:rPr>
        <w:t>:</w:t>
      </w:r>
    </w:p>
    <w:p w14:paraId="2B7CFF3C" w14:textId="477A1C06" w:rsidR="00D260D0" w:rsidRPr="00765AE4" w:rsidRDefault="00D260D0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осуществляющих прием платежей за услуги по автомобильной перевозке пассажиров автомобилями такси, заказанных и оплаченных посредством электронной информационной системы с использованием только реквизитов банковских платежных карточек - </w:t>
      </w:r>
      <w:r w:rsidRPr="00765AE4">
        <w:rPr>
          <w:b/>
          <w:bCs/>
          <w:szCs w:val="30"/>
        </w:rPr>
        <w:t xml:space="preserve">направлять заказчику автомобильной перевозки посредством электронной информационной системы электронную квитанцию на адрес электронной почты, указанный заказчиком такой перевозки при ее заказе. </w:t>
      </w:r>
      <w:r w:rsidRPr="00765AE4">
        <w:rPr>
          <w:szCs w:val="30"/>
        </w:rPr>
        <w:t>Одновременно устанавливается перечень сведений, подлежащих указанию в такой квитанции;</w:t>
      </w:r>
    </w:p>
    <w:p w14:paraId="75587995" w14:textId="77777777" w:rsidR="00D260D0" w:rsidRPr="00765AE4" w:rsidRDefault="00D260D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являющихся платежными агрегаторами,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автомобилями-такси - </w:t>
      </w:r>
      <w:r w:rsidRPr="00765AE4">
        <w:rPr>
          <w:b/>
          <w:bCs/>
          <w:szCs w:val="30"/>
        </w:rPr>
        <w:t>осуществлять раздельный учет операций по приему платежей в отношении каждого субъекта хозяйствования.</w:t>
      </w:r>
    </w:p>
    <w:p w14:paraId="296D4F53" w14:textId="0CA6C653" w:rsidR="00B031F9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Указанные </w:t>
      </w:r>
      <w:r w:rsidR="00D260D0" w:rsidRPr="00765AE4">
        <w:rPr>
          <w:szCs w:val="30"/>
        </w:rPr>
        <w:t xml:space="preserve">нормы вступают в силу </w:t>
      </w:r>
      <w:r w:rsidRPr="00765AE4">
        <w:rPr>
          <w:bCs/>
          <w:szCs w:val="30"/>
        </w:rPr>
        <w:t>с 22.07.2023</w:t>
      </w:r>
      <w:r w:rsidR="00955433">
        <w:rPr>
          <w:bCs/>
          <w:szCs w:val="30"/>
        </w:rPr>
        <w:t xml:space="preserve"> </w:t>
      </w:r>
      <w:r w:rsidR="00955433" w:rsidRPr="00765AE4">
        <w:rPr>
          <w:bCs/>
          <w:szCs w:val="30"/>
        </w:rPr>
        <w:t>(даты вступления в силу соответствующих положений Закона № 196-З)</w:t>
      </w:r>
      <w:r>
        <w:rPr>
          <w:bCs/>
          <w:szCs w:val="30"/>
        </w:rPr>
        <w:t>.</w:t>
      </w:r>
    </w:p>
    <w:p w14:paraId="0639C856" w14:textId="77777777" w:rsidR="00B031F9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4. </w:t>
      </w:r>
      <w:r w:rsidR="00F3105C" w:rsidRPr="00765AE4">
        <w:rPr>
          <w:szCs w:val="30"/>
        </w:rPr>
        <w:t>В целях создания благоприятных условий для субъектов хозяйствования, осуществляющих прием платежей при оказании платежных услуг, подпункт 2.8</w:t>
      </w:r>
      <w:r w:rsidR="00F3105C" w:rsidRPr="00765AE4">
        <w:rPr>
          <w:szCs w:val="30"/>
          <w:vertAlign w:val="superscript"/>
        </w:rPr>
        <w:t xml:space="preserve">1 </w:t>
      </w:r>
      <w:r w:rsidR="00F3105C" w:rsidRPr="00765AE4">
        <w:rPr>
          <w:color w:val="000000"/>
          <w:szCs w:val="30"/>
        </w:rPr>
        <w:t xml:space="preserve">постановления № 924/16 </w:t>
      </w:r>
      <w:r w:rsidR="00F3105C" w:rsidRPr="00765AE4">
        <w:rPr>
          <w:szCs w:val="30"/>
        </w:rPr>
        <w:t xml:space="preserve">дополняется положениями, позволяющими </w:t>
      </w:r>
      <w:r w:rsidR="00F3105C" w:rsidRPr="005538C2">
        <w:rPr>
          <w:b/>
          <w:szCs w:val="30"/>
        </w:rPr>
        <w:t>платежным агрегаторам</w:t>
      </w:r>
      <w:r w:rsidR="00F3105C" w:rsidRPr="00765AE4">
        <w:rPr>
          <w:szCs w:val="30"/>
        </w:rPr>
        <w:t xml:space="preserve"> использовать уже имеющиеся у них платежные терминалы для приема платежей, а также самостоятельно определять необходимое количество платежных терминалов. При этом количество используемых в объектах оказания платежных услуг карточных платежных терминалов, предназначенных для приема платежей в адрес третьих лиц, платежные агрегаторы определяют самостоятельно.</w:t>
      </w:r>
      <w:r w:rsidR="00496CC6" w:rsidRPr="00765AE4">
        <w:rPr>
          <w:szCs w:val="30"/>
        </w:rPr>
        <w:t xml:space="preserve"> </w:t>
      </w:r>
    </w:p>
    <w:p w14:paraId="5F80C43C" w14:textId="39D5592A" w:rsidR="00496CC6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Указанная</w:t>
      </w:r>
      <w:r w:rsidRPr="00765AE4">
        <w:rPr>
          <w:szCs w:val="30"/>
        </w:rPr>
        <w:t xml:space="preserve"> </w:t>
      </w:r>
      <w:r w:rsidR="00496CC6" w:rsidRPr="00765AE4">
        <w:rPr>
          <w:szCs w:val="30"/>
        </w:rPr>
        <w:t>норма вступает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496CC6" w:rsidRPr="00765AE4">
        <w:rPr>
          <w:szCs w:val="30"/>
        </w:rPr>
        <w:t>.</w:t>
      </w:r>
    </w:p>
    <w:p w14:paraId="3B79620F" w14:textId="5DAB3151" w:rsidR="00854816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5. </w:t>
      </w:r>
      <w:r w:rsidR="00341DAC" w:rsidRPr="00765AE4">
        <w:rPr>
          <w:szCs w:val="30"/>
        </w:rPr>
        <w:t>Постановлением</w:t>
      </w:r>
      <w:r w:rsidR="00341DAC">
        <w:rPr>
          <w:szCs w:val="30"/>
        </w:rPr>
        <w:t xml:space="preserve"> </w:t>
      </w:r>
      <w:r w:rsidR="00341DAC" w:rsidRPr="00765AE4">
        <w:rPr>
          <w:szCs w:val="30"/>
        </w:rPr>
        <w:t xml:space="preserve">№ 841/27 </w:t>
      </w:r>
      <w:r w:rsidR="00341DAC">
        <w:rPr>
          <w:szCs w:val="30"/>
        </w:rPr>
        <w:t>в</w:t>
      </w:r>
      <w:r w:rsidR="00854816" w:rsidRPr="00765AE4">
        <w:rPr>
          <w:szCs w:val="30"/>
        </w:rPr>
        <w:t xml:space="preserve"> Положение № 924/16 </w:t>
      </w:r>
      <w:r w:rsidR="00854816" w:rsidRPr="005538C2">
        <w:rPr>
          <w:b/>
          <w:szCs w:val="30"/>
        </w:rPr>
        <w:t>включена глава 7</w:t>
      </w:r>
      <w:r w:rsidR="007E0B68">
        <w:rPr>
          <w:szCs w:val="30"/>
        </w:rPr>
        <w:t>, предусматривающая о</w:t>
      </w:r>
      <w:r w:rsidR="00854816" w:rsidRPr="00765AE4">
        <w:rPr>
          <w:szCs w:val="30"/>
        </w:rPr>
        <w:t>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</w:t>
      </w:r>
      <w:r w:rsidR="007E0B68">
        <w:rPr>
          <w:szCs w:val="30"/>
        </w:rPr>
        <w:t>,</w:t>
      </w:r>
      <w:r w:rsidR="00854816" w:rsidRPr="00765AE4">
        <w:rPr>
          <w:szCs w:val="30"/>
        </w:rPr>
        <w:t xml:space="preserve"> в соответствии с которой:</w:t>
      </w:r>
    </w:p>
    <w:p w14:paraId="3AB3A833" w14:textId="77777777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юридические лица и индивидуальные предприниматели, (за исключением Национального банка, банков, небанковских кредитно-финансовых организаций и организаторов азартных игр), являющиеся платежными агрегаторами, обеспечивают </w:t>
      </w:r>
      <w:r w:rsidRPr="00765AE4">
        <w:rPr>
          <w:b/>
          <w:bCs/>
          <w:szCs w:val="30"/>
        </w:rPr>
        <w:t>раздельный учет (регистрацию)</w:t>
      </w:r>
      <w:r w:rsidRPr="00765AE4">
        <w:rPr>
          <w:szCs w:val="30"/>
        </w:rPr>
        <w:t xml:space="preserve"> операций по приему платежей в свой адрес и платежей в адрес третьих лиц;</w:t>
      </w:r>
    </w:p>
    <w:p w14:paraId="194882B3" w14:textId="2A0C2E76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организаторы азартных игр при оказании платежных услуг по приему платежей в адрес третьих лиц используют кассовые суммирующие аппараты</w:t>
      </w:r>
      <w:r w:rsidR="00DC4C66" w:rsidRPr="00765AE4">
        <w:rPr>
          <w:szCs w:val="30"/>
        </w:rPr>
        <w:t xml:space="preserve"> (далее – кассовые аппараты)</w:t>
      </w:r>
      <w:r w:rsidRPr="00765AE4">
        <w:rPr>
          <w:szCs w:val="30"/>
        </w:rPr>
        <w:t xml:space="preserve"> с установленным СКНО или программные кассы;</w:t>
      </w:r>
    </w:p>
    <w:p w14:paraId="0DCABC29" w14:textId="4EBD6FF2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раздельный учет (регистрация) операций обеспечивается юридическими лицами и индивидуальными предпринимателями с использованием отдельной секции, если кассовое оборудование предусматривает такую возможность, либо с использованием отдельного кассового оборудования для учета операций по приему платежей в адрес третьих лиц.</w:t>
      </w:r>
    </w:p>
    <w:p w14:paraId="247E384D" w14:textId="56E498C3" w:rsidR="00DC4C66" w:rsidRPr="00765AE4" w:rsidRDefault="00DC4C6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Соответственно, такое разделение потоков </w:t>
      </w:r>
      <w:r w:rsidR="002C17C8" w:rsidRPr="00765AE4">
        <w:rPr>
          <w:szCs w:val="30"/>
        </w:rPr>
        <w:t xml:space="preserve">платежей в свой адрес и платежей в адрес третьих лиц </w:t>
      </w:r>
      <w:r w:rsidRPr="00765AE4">
        <w:rPr>
          <w:szCs w:val="30"/>
        </w:rPr>
        <w:t xml:space="preserve">позволит в последующем обеспечить надлежащее налогообложение доходов поставщиков платежных услуг, не являющихся банками, по тому же принципу, как у банков, когда поток денежных средств, подлежащий передаче третьим лицам, не является средствами (выручкой) поставщика платежных услуг. В данной ситуации налогообложению должен будет подлежать только доход, полученный поставщиком платежных услуг от оказания платежных услуг – сумма вознаграждения (платы), которую получает поставщик платежных услуг за оказанные им платежные услуги. </w:t>
      </w:r>
    </w:p>
    <w:p w14:paraId="27D0930C" w14:textId="77777777" w:rsidR="007E0B68" w:rsidRDefault="008548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формирования условий, способствующих развитию интернет-торговли в Республике Беларусь предусмотрена норма в </w:t>
      </w:r>
      <w:r w:rsidRPr="00765AE4">
        <w:rPr>
          <w:szCs w:val="30"/>
        </w:rPr>
        <w:lastRenderedPageBreak/>
        <w:t xml:space="preserve">соответствии с которой юридические лица и индивидуальные предприниматели, которые одновременно являются платежным агрегатором и владельцем сайта в глобальной компьютерной сети Интернет, посредством которого обеспечивается установление контактов и совершение сделок между продавцами, осуществляющими продажу товаров (выполнение работ, оказание услуг), и покупателями (потребителями) указанных товаров (работ, услуг), а также прием платежей за указанные товары (работы, услуги) только в безналичной форме, в том числе с использованием карточного платежного терминала, вправе осуществлять </w:t>
      </w:r>
      <w:r w:rsidRPr="00765AE4">
        <w:rPr>
          <w:b/>
          <w:bCs/>
          <w:szCs w:val="30"/>
        </w:rPr>
        <w:t>прием таких платежей без использования кассового оборудования</w:t>
      </w:r>
      <w:r w:rsidRPr="00765AE4">
        <w:rPr>
          <w:szCs w:val="30"/>
        </w:rPr>
        <w:t>.</w:t>
      </w:r>
      <w:r w:rsidR="00572DE5" w:rsidRPr="00765AE4">
        <w:rPr>
          <w:szCs w:val="30"/>
        </w:rPr>
        <w:t xml:space="preserve"> </w:t>
      </w:r>
    </w:p>
    <w:p w14:paraId="52841184" w14:textId="040FB935" w:rsidR="00572DE5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</w:t>
      </w:r>
      <w:r w:rsidR="00572DE5" w:rsidRPr="00765AE4">
        <w:rPr>
          <w:szCs w:val="30"/>
        </w:rPr>
        <w:t>норм</w:t>
      </w:r>
      <w:r w:rsidR="007E0B68">
        <w:rPr>
          <w:szCs w:val="30"/>
        </w:rPr>
        <w:t>ы</w:t>
      </w:r>
      <w:r w:rsidR="00572DE5" w:rsidRPr="00765AE4">
        <w:rPr>
          <w:szCs w:val="30"/>
        </w:rPr>
        <w:t xml:space="preserve"> вступа</w:t>
      </w:r>
      <w:r w:rsidR="007E0B68">
        <w:rPr>
          <w:szCs w:val="30"/>
        </w:rPr>
        <w:t>ю</w:t>
      </w:r>
      <w:r w:rsidR="00572DE5"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572DE5" w:rsidRPr="00765AE4">
        <w:rPr>
          <w:szCs w:val="30"/>
        </w:rPr>
        <w:t>.</w:t>
      </w:r>
    </w:p>
    <w:p w14:paraId="46992DF1" w14:textId="7B936BF0" w:rsidR="00572DE5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6. </w:t>
      </w:r>
      <w:r w:rsidR="005538C2" w:rsidRPr="002D37E2">
        <w:rPr>
          <w:b/>
          <w:szCs w:val="30"/>
        </w:rPr>
        <w:t>С 1 июля 2025 г.</w:t>
      </w:r>
      <w:r w:rsidR="005538C2">
        <w:rPr>
          <w:szCs w:val="30"/>
        </w:rPr>
        <w:t xml:space="preserve"> п</w:t>
      </w:r>
      <w:r w:rsidR="00572DE5" w:rsidRPr="00765AE4">
        <w:rPr>
          <w:szCs w:val="30"/>
        </w:rPr>
        <w:t>остановлением № 841/27 для юридических лиц и индивидуальных предпринимателей, осуществляющих продажу товаров, подлежащих маркировке</w:t>
      </w:r>
      <w:r w:rsidR="002D37E2">
        <w:rPr>
          <w:szCs w:val="30"/>
        </w:rPr>
        <w:t xml:space="preserve">, </w:t>
      </w:r>
      <w:r w:rsidR="002D37E2" w:rsidRPr="002D37E2">
        <w:rPr>
          <w:b/>
          <w:szCs w:val="30"/>
        </w:rPr>
        <w:t>вводится обязанность</w:t>
      </w:r>
      <w:r w:rsidR="00572DE5" w:rsidRPr="00765AE4">
        <w:rPr>
          <w:szCs w:val="30"/>
        </w:rPr>
        <w:t xml:space="preserve"> использовать кассовые аппараты с установленным СКНО и программные кассы, обеспечивающие:</w:t>
      </w:r>
    </w:p>
    <w:p w14:paraId="7D844359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 </w:t>
      </w:r>
    </w:p>
    <w:p w14:paraId="5618B480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дифференцированный учет данных о реализуемых товарах, предусмотренный пунктом 10 Положения № 924/16; </w:t>
      </w:r>
    </w:p>
    <w:p w14:paraId="0CD1866B" w14:textId="3D10C7DF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передачу информации, о коде маркировки или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</w:t>
      </w:r>
      <w:r w:rsidR="00DC4C66" w:rsidRPr="00765AE4">
        <w:rPr>
          <w:szCs w:val="30"/>
        </w:rPr>
        <w:t xml:space="preserve">систему контроля кассового оборудования (далее – СККО) </w:t>
      </w:r>
      <w:r w:rsidRPr="00765AE4">
        <w:rPr>
          <w:szCs w:val="30"/>
        </w:rPr>
        <w:t xml:space="preserve">в соответствии с требованиями, определенными Министерством по налогам и сборам и Государственным комитетом по стандартизации к кассовым аппаратам или программным кассам. </w:t>
      </w:r>
    </w:p>
    <w:p w14:paraId="2C9FB176" w14:textId="65B4A328" w:rsidR="00DC4C66" w:rsidRPr="002D37E2" w:rsidRDefault="002D37E2" w:rsidP="002D37E2">
      <w:pPr>
        <w:pStyle w:val="ConsPlusNormal"/>
        <w:tabs>
          <w:tab w:val="left" w:pos="8789"/>
          <w:tab w:val="left" w:pos="9356"/>
        </w:tabs>
        <w:spacing w:line="280" w:lineRule="exact"/>
        <w:ind w:firstLine="709"/>
        <w:jc w:val="both"/>
        <w:rPr>
          <w:i/>
          <w:szCs w:val="30"/>
        </w:rPr>
      </w:pPr>
      <w:proofErr w:type="spellStart"/>
      <w:r w:rsidRPr="002D37E2">
        <w:rPr>
          <w:i/>
          <w:szCs w:val="30"/>
        </w:rPr>
        <w:t>Справочно</w:t>
      </w:r>
      <w:proofErr w:type="spellEnd"/>
      <w:r w:rsidRPr="002D37E2">
        <w:rPr>
          <w:i/>
          <w:szCs w:val="30"/>
        </w:rPr>
        <w:t xml:space="preserve">. </w:t>
      </w:r>
      <w:r w:rsidR="00DC4C66" w:rsidRPr="002D37E2">
        <w:rPr>
          <w:i/>
          <w:szCs w:val="30"/>
        </w:rPr>
        <w:t>Данн</w:t>
      </w:r>
      <w:r w:rsidR="002C17C8" w:rsidRPr="002D37E2">
        <w:rPr>
          <w:i/>
          <w:szCs w:val="30"/>
        </w:rPr>
        <w:t xml:space="preserve">ое требование </w:t>
      </w:r>
      <w:r w:rsidR="00DC4C66" w:rsidRPr="002D37E2">
        <w:rPr>
          <w:i/>
          <w:szCs w:val="30"/>
        </w:rPr>
        <w:t>не распространяется на платежных агрегаторов, а также юридические лица и индивидуальных предпринимателей, реализующих товары, подлежащие маркировке:</w:t>
      </w:r>
    </w:p>
    <w:p w14:paraId="0567D33D" w14:textId="77777777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в магазинах беспошлинной торговли;</w:t>
      </w:r>
    </w:p>
    <w:p w14:paraId="7B1F76B1" w14:textId="6747AC7A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с использованием специальных компьютерных систем, указанных в абзацах первом – шестом части первой пункта 27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;</w:t>
      </w:r>
    </w:p>
    <w:p w14:paraId="01195299" w14:textId="6B5A1399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без использования кассового оборудования в случаях, установленных частью четвертой пункта 1 и пунктом 35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.</w:t>
      </w:r>
    </w:p>
    <w:p w14:paraId="2B1BC94D" w14:textId="690306EF" w:rsidR="00646B09" w:rsidRPr="00765AE4" w:rsidRDefault="00646B09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обеспечения </w:t>
      </w:r>
      <w:r w:rsidR="00B031F9">
        <w:rPr>
          <w:szCs w:val="30"/>
        </w:rPr>
        <w:t xml:space="preserve">передачи в СККО информации о </w:t>
      </w:r>
      <w:r w:rsidRPr="00765AE4">
        <w:rPr>
          <w:szCs w:val="30"/>
        </w:rPr>
        <w:t>реализации маркированных товаров</w:t>
      </w:r>
      <w:r w:rsidRPr="00765AE4">
        <w:rPr>
          <w:b/>
          <w:bCs/>
          <w:szCs w:val="30"/>
        </w:rPr>
        <w:t xml:space="preserve"> </w:t>
      </w:r>
      <w:r w:rsidRPr="00765AE4">
        <w:rPr>
          <w:szCs w:val="30"/>
        </w:rPr>
        <w:t xml:space="preserve">национальным оператором почтовой связи пункт 27 Положения № 924/16 дополняется нормой, устанавливающей, что специальная компьютерная система, используемая для приема платежей при оказании услуг и осуществлении торговли национальным оператором </w:t>
      </w:r>
      <w:r w:rsidRPr="00765AE4">
        <w:rPr>
          <w:szCs w:val="30"/>
        </w:rPr>
        <w:lastRenderedPageBreak/>
        <w:t xml:space="preserve">почтовой связи, дополнительно обеспечивает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</w:t>
      </w:r>
    </w:p>
    <w:p w14:paraId="4DCA2EC6" w14:textId="648A7E01" w:rsidR="005C6942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Для юридических лиц и индивидуальных предпринимателей, указанных в части четвертой пункта 1 Положения № 924/16 (осуществляющи</w:t>
      </w:r>
      <w:r w:rsidR="007E0B68">
        <w:rPr>
          <w:szCs w:val="30"/>
        </w:rPr>
        <w:t>х</w:t>
      </w:r>
      <w:r w:rsidRPr="00765AE4">
        <w:rPr>
          <w:szCs w:val="30"/>
        </w:rPr>
        <w:t xml:space="preserve"> прием только безналичных денежных средств и (или) электронных денег в соответствии с банковским законодательством, без использования кассового оборудования) при приеме платежей при продаже товаров, маркированных средствами идентификации, и (или) товаров, унифицированными контрольными знаками, установлена обязанность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систему контроля кассового оборудования посредством </w:t>
      </w:r>
      <w:r w:rsidRPr="00B031F9">
        <w:rPr>
          <w:szCs w:val="30"/>
        </w:rPr>
        <w:t>открытого интерфейса программирования приложений</w:t>
      </w:r>
      <w:r w:rsidRPr="00765AE4">
        <w:rPr>
          <w:szCs w:val="30"/>
        </w:rPr>
        <w:t>, предоставленного РУП «Информационно-издательский центр по налогам и сборам.</w:t>
      </w:r>
    </w:p>
    <w:p w14:paraId="04686154" w14:textId="0E68D938" w:rsidR="00074256" w:rsidRDefault="0005777A" w:rsidP="0005777A">
      <w:pPr>
        <w:pStyle w:val="ConsPlusNormal"/>
        <w:ind w:firstLine="709"/>
        <w:jc w:val="both"/>
        <w:rPr>
          <w:rFonts w:eastAsiaTheme="minorHAnsi"/>
          <w:szCs w:val="30"/>
          <w:lang w:eastAsia="en-US"/>
        </w:rPr>
      </w:pPr>
      <w:r w:rsidRPr="0005777A">
        <w:rPr>
          <w:szCs w:val="30"/>
        </w:rPr>
        <w:t xml:space="preserve">Кроме того, для юридических лиц и индивидуальных предпринимателей, осуществляющих продажу маркированных товаров и использующих кассовое оборудование, постановлением № 841/27 </w:t>
      </w:r>
      <w:r w:rsidR="00672BE2">
        <w:rPr>
          <w:szCs w:val="30"/>
        </w:rPr>
        <w:t>устанавливается</w:t>
      </w:r>
      <w:r w:rsidRPr="0005777A">
        <w:rPr>
          <w:szCs w:val="30"/>
        </w:rPr>
        <w:t xml:space="preserve"> запрет </w:t>
      </w:r>
      <w:r w:rsidR="00672BE2">
        <w:rPr>
          <w:szCs w:val="30"/>
        </w:rPr>
        <w:t xml:space="preserve">на </w:t>
      </w:r>
      <w:r w:rsidRPr="0005777A">
        <w:rPr>
          <w:rFonts w:eastAsiaTheme="minorHAnsi"/>
          <w:szCs w:val="30"/>
          <w:lang w:eastAsia="en-US"/>
        </w:rPr>
        <w:t>использ</w:t>
      </w:r>
      <w:r>
        <w:rPr>
          <w:rFonts w:eastAsiaTheme="minorHAnsi"/>
          <w:szCs w:val="30"/>
          <w:lang w:eastAsia="en-US"/>
        </w:rPr>
        <w:t>овани</w:t>
      </w:r>
      <w:r w:rsidR="00672BE2">
        <w:rPr>
          <w:rFonts w:eastAsiaTheme="minorHAnsi"/>
          <w:szCs w:val="30"/>
          <w:lang w:eastAsia="en-US"/>
        </w:rPr>
        <w:t>е</w:t>
      </w:r>
      <w:r w:rsidRPr="0005777A">
        <w:rPr>
          <w:rFonts w:eastAsiaTheme="minorHAnsi"/>
          <w:szCs w:val="30"/>
          <w:lang w:eastAsia="en-US"/>
        </w:rPr>
        <w:t xml:space="preserve"> при продаже товаров, подлежащих маркировке,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кассов</w:t>
      </w:r>
      <w:r>
        <w:rPr>
          <w:rFonts w:eastAsiaTheme="minorHAnsi"/>
          <w:szCs w:val="30"/>
          <w:lang w:eastAsia="en-US"/>
        </w:rPr>
        <w:t>ого</w:t>
      </w:r>
      <w:r w:rsidRPr="0005777A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оборудования</w:t>
      </w:r>
      <w:r w:rsidRPr="0005777A">
        <w:rPr>
          <w:rFonts w:eastAsiaTheme="minorHAnsi"/>
          <w:szCs w:val="30"/>
          <w:lang w:eastAsia="en-US"/>
        </w:rPr>
        <w:t>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не соответству</w:t>
      </w:r>
      <w:r>
        <w:rPr>
          <w:rFonts w:eastAsiaTheme="minorHAnsi"/>
          <w:szCs w:val="30"/>
          <w:lang w:eastAsia="en-US"/>
        </w:rPr>
        <w:t>ющего</w:t>
      </w:r>
      <w:r w:rsidRPr="0005777A">
        <w:rPr>
          <w:rFonts w:eastAsiaTheme="minorHAnsi"/>
          <w:szCs w:val="30"/>
          <w:lang w:eastAsia="en-US"/>
        </w:rPr>
        <w:t xml:space="preserve"> требованиям пункта </w:t>
      </w:r>
      <w:r w:rsidR="00074256" w:rsidRPr="0005777A">
        <w:rPr>
          <w:rFonts w:eastAsiaTheme="minorHAnsi"/>
          <w:szCs w:val="30"/>
          <w:lang w:eastAsia="en-US"/>
        </w:rPr>
        <w:t>10</w:t>
      </w:r>
      <w:r w:rsidR="00074256">
        <w:rPr>
          <w:spacing w:val="-6"/>
          <w:vertAlign w:val="superscript"/>
        </w:rPr>
        <w:t>1</w:t>
      </w:r>
      <w:r w:rsidRPr="0005777A">
        <w:rPr>
          <w:rFonts w:eastAsiaTheme="minorHAnsi"/>
          <w:szCs w:val="30"/>
          <w:lang w:eastAsia="en-US"/>
        </w:rPr>
        <w:t xml:space="preserve"> Положения</w:t>
      </w:r>
      <w:r w:rsidR="00074256">
        <w:rPr>
          <w:rFonts w:eastAsiaTheme="minorHAnsi"/>
          <w:szCs w:val="30"/>
          <w:lang w:eastAsia="en-US"/>
        </w:rPr>
        <w:t xml:space="preserve"> </w:t>
      </w:r>
      <w:r w:rsidR="00074256" w:rsidRPr="00765AE4">
        <w:rPr>
          <w:szCs w:val="30"/>
        </w:rPr>
        <w:t>№ 924/16</w:t>
      </w:r>
      <w:r w:rsidR="00074256">
        <w:rPr>
          <w:szCs w:val="30"/>
        </w:rPr>
        <w:t>.</w:t>
      </w:r>
    </w:p>
    <w:p w14:paraId="75A8CDD2" w14:textId="62E3918D" w:rsidR="005C6942" w:rsidRPr="00765AE4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Также постановлением № 841/27 </w:t>
      </w:r>
      <w:r w:rsidR="00FF2014">
        <w:rPr>
          <w:szCs w:val="30"/>
        </w:rPr>
        <w:t>вводится</w:t>
      </w:r>
      <w:r w:rsidR="00FF2014" w:rsidRPr="0005777A">
        <w:rPr>
          <w:szCs w:val="30"/>
        </w:rPr>
        <w:t xml:space="preserve"> </w:t>
      </w:r>
      <w:r w:rsidRPr="00765AE4">
        <w:rPr>
          <w:szCs w:val="30"/>
        </w:rPr>
        <w:t xml:space="preserve">обязанность для продавцов товаров при получении от платежных агрегаторов платежей за реализуемые товары, подлежащие маркировке,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 </w:t>
      </w:r>
      <w:r w:rsidR="00FF2014">
        <w:rPr>
          <w:szCs w:val="30"/>
        </w:rPr>
        <w:t>При этом предусматривается, что п</w:t>
      </w:r>
      <w:r w:rsidRPr="00765AE4">
        <w:rPr>
          <w:szCs w:val="30"/>
        </w:rPr>
        <w:t>латежный агрегатор на основании заключаемых договоров с продавцами товаров может обеспечивать такую передачу информации.</w:t>
      </w:r>
    </w:p>
    <w:p w14:paraId="43827972" w14:textId="148C662A" w:rsidR="00DC4C66" w:rsidRDefault="00074256" w:rsidP="00765AE4">
      <w:pPr>
        <w:pStyle w:val="ConsPlusNormal"/>
        <w:ind w:firstLine="709"/>
        <w:rPr>
          <w:szCs w:val="30"/>
        </w:rPr>
      </w:pPr>
      <w:r>
        <w:rPr>
          <w:szCs w:val="30"/>
        </w:rPr>
        <w:t xml:space="preserve">Указанные </w:t>
      </w:r>
      <w:r w:rsidR="002C17C8" w:rsidRPr="00765AE4">
        <w:rPr>
          <w:szCs w:val="30"/>
        </w:rPr>
        <w:t>норм</w:t>
      </w:r>
      <w:r w:rsidR="00646B09" w:rsidRPr="00765AE4">
        <w:rPr>
          <w:szCs w:val="30"/>
        </w:rPr>
        <w:t>ы</w:t>
      </w:r>
      <w:r w:rsidR="002C17C8" w:rsidRPr="00765AE4">
        <w:rPr>
          <w:szCs w:val="30"/>
        </w:rPr>
        <w:t xml:space="preserve"> вступа</w:t>
      </w:r>
      <w:r w:rsidR="00646B09" w:rsidRPr="00765AE4">
        <w:rPr>
          <w:szCs w:val="30"/>
        </w:rPr>
        <w:t>ю</w:t>
      </w:r>
      <w:r w:rsidR="002C17C8" w:rsidRPr="00765AE4">
        <w:rPr>
          <w:szCs w:val="30"/>
        </w:rPr>
        <w:t>т в силу</w:t>
      </w:r>
      <w:r w:rsidR="00DC4C66" w:rsidRPr="00765AE4">
        <w:rPr>
          <w:szCs w:val="30"/>
        </w:rPr>
        <w:t xml:space="preserve"> с 1 июля 2025 г.</w:t>
      </w:r>
    </w:p>
    <w:p w14:paraId="15C456A6" w14:textId="61D31448" w:rsidR="00E830AB" w:rsidRDefault="007E0B68" w:rsidP="00074256">
      <w:pPr>
        <w:pStyle w:val="ConsPlusNormal"/>
        <w:ind w:firstLine="709"/>
        <w:jc w:val="both"/>
        <w:rPr>
          <w:szCs w:val="30"/>
        </w:rPr>
      </w:pPr>
      <w:r w:rsidRPr="004A789F">
        <w:rPr>
          <w:szCs w:val="30"/>
        </w:rPr>
        <w:t xml:space="preserve">7. </w:t>
      </w:r>
      <w:r w:rsidR="00074256">
        <w:rPr>
          <w:szCs w:val="30"/>
        </w:rPr>
        <w:t xml:space="preserve">В целях </w:t>
      </w:r>
      <w:r w:rsidR="00074256" w:rsidRPr="007452E7">
        <w:rPr>
          <w:b/>
          <w:bCs/>
          <w:spacing w:val="-13"/>
          <w:szCs w:val="30"/>
        </w:rPr>
        <w:t>уточнени</w:t>
      </w:r>
      <w:r w:rsidR="00FF2014" w:rsidRPr="007452E7">
        <w:rPr>
          <w:b/>
          <w:bCs/>
          <w:spacing w:val="-13"/>
          <w:szCs w:val="30"/>
        </w:rPr>
        <w:t>я</w:t>
      </w:r>
      <w:r w:rsidR="00074256" w:rsidRPr="007452E7">
        <w:rPr>
          <w:b/>
          <w:bCs/>
          <w:spacing w:val="-13"/>
          <w:szCs w:val="30"/>
        </w:rPr>
        <w:t xml:space="preserve"> требований</w:t>
      </w:r>
      <w:r w:rsidR="00074256" w:rsidRPr="007452E7">
        <w:rPr>
          <w:b/>
          <w:spacing w:val="-13"/>
          <w:szCs w:val="30"/>
        </w:rPr>
        <w:t xml:space="preserve"> к дифференцированному учету</w:t>
      </w:r>
      <w:r w:rsidR="00074256" w:rsidRPr="00AD2F17">
        <w:rPr>
          <w:spacing w:val="-13"/>
          <w:szCs w:val="30"/>
        </w:rPr>
        <w:t xml:space="preserve"> данных о товарах, подлежащих </w:t>
      </w:r>
      <w:r w:rsidR="00074256" w:rsidRPr="00AD2F17">
        <w:rPr>
          <w:bCs/>
          <w:spacing w:val="-13"/>
          <w:szCs w:val="30"/>
        </w:rPr>
        <w:t>товарной нумерации и штриховому кодированию</w:t>
      </w:r>
      <w:r w:rsidR="00074256" w:rsidRPr="00AD2F17">
        <w:rPr>
          <w:spacing w:val="-13"/>
          <w:szCs w:val="30"/>
        </w:rPr>
        <w:t xml:space="preserve">, </w:t>
      </w:r>
      <w:r w:rsidR="00074256" w:rsidRPr="00AD2F17">
        <w:rPr>
          <w:bCs/>
          <w:spacing w:val="-13"/>
          <w:szCs w:val="30"/>
        </w:rPr>
        <w:lastRenderedPageBreak/>
        <w:t>исключающи</w:t>
      </w:r>
      <w:r w:rsidR="00FF2014">
        <w:rPr>
          <w:bCs/>
          <w:spacing w:val="-13"/>
          <w:szCs w:val="30"/>
        </w:rPr>
        <w:t>х</w:t>
      </w:r>
      <w:r w:rsidR="00074256" w:rsidRPr="00AD2F17">
        <w:rPr>
          <w:bCs/>
          <w:spacing w:val="-13"/>
          <w:szCs w:val="30"/>
        </w:rPr>
        <w:t xml:space="preserve"> ошибки при идентификации</w:t>
      </w:r>
      <w:r w:rsidR="00074256" w:rsidRPr="00AD2F17">
        <w:rPr>
          <w:spacing w:val="-13"/>
          <w:szCs w:val="30"/>
        </w:rPr>
        <w:t xml:space="preserve"> таких</w:t>
      </w:r>
      <w:r w:rsidR="00074256">
        <w:rPr>
          <w:spacing w:val="-13"/>
          <w:szCs w:val="30"/>
        </w:rPr>
        <w:t xml:space="preserve"> товаров, </w:t>
      </w:r>
      <w:r w:rsidR="002735B6" w:rsidRPr="00765AE4">
        <w:rPr>
          <w:szCs w:val="30"/>
        </w:rPr>
        <w:t xml:space="preserve">постановлением </w:t>
      </w:r>
      <w:r w:rsidR="00074256">
        <w:rPr>
          <w:szCs w:val="30"/>
        </w:rPr>
        <w:br/>
      </w:r>
      <w:r w:rsidR="002735B6" w:rsidRPr="00765AE4">
        <w:rPr>
          <w:szCs w:val="30"/>
        </w:rPr>
        <w:t xml:space="preserve">№ 841/27 изменена редакция части второй пункта 10 Положения № 924/16 а именно, предусмотрено, что дифференцированный учет данных о реализуемых товарах, подлежащих товарной нумерации и штриховому кодированию, и реализуемых в таких торговых объектах, осуществляется </w:t>
      </w:r>
      <w:r w:rsidR="00E830AB">
        <w:rPr>
          <w:szCs w:val="30"/>
        </w:rPr>
        <w:br/>
      </w:r>
      <w:r w:rsidR="002735B6" w:rsidRPr="00FF2014">
        <w:rPr>
          <w:b/>
          <w:szCs w:val="30"/>
        </w:rPr>
        <w:t xml:space="preserve">с использованием международного идентификационного номера товара (глобальный номер торговой единицы – Global Trade </w:t>
      </w:r>
      <w:proofErr w:type="spellStart"/>
      <w:r w:rsidR="002735B6" w:rsidRPr="00FF2014">
        <w:rPr>
          <w:b/>
          <w:szCs w:val="30"/>
        </w:rPr>
        <w:t>Item</w:t>
      </w:r>
      <w:proofErr w:type="spellEnd"/>
      <w:r w:rsidR="002735B6" w:rsidRPr="00FF2014">
        <w:rPr>
          <w:b/>
          <w:szCs w:val="30"/>
        </w:rPr>
        <w:t xml:space="preserve"> Number (GTIN)),</w:t>
      </w:r>
      <w:r w:rsidR="002735B6" w:rsidRPr="00765AE4">
        <w:rPr>
          <w:szCs w:val="30"/>
        </w:rPr>
        <w:t xml:space="preserve"> наносимого на товар (этикетку, упаковку) в виде машиночитаемых символик (штриховых идентификационных кодов). </w:t>
      </w:r>
      <w:r w:rsidR="00820631">
        <w:rPr>
          <w:szCs w:val="30"/>
        </w:rPr>
        <w:br/>
      </w:r>
      <w:r w:rsidR="00E830AB">
        <w:rPr>
          <w:szCs w:val="30"/>
        </w:rPr>
        <w:t xml:space="preserve">При этом уточняется, что </w:t>
      </w:r>
      <w:r w:rsidR="00E830AB" w:rsidRPr="00E830AB">
        <w:rPr>
          <w:b/>
          <w:szCs w:val="30"/>
        </w:rPr>
        <w:t>и</w:t>
      </w:r>
      <w:r w:rsidR="002735B6" w:rsidRPr="00E830AB">
        <w:rPr>
          <w:b/>
          <w:szCs w:val="30"/>
        </w:rPr>
        <w:t>сточником данных о GTIN</w:t>
      </w:r>
      <w:r w:rsidR="002735B6" w:rsidRPr="00765AE4">
        <w:rPr>
          <w:szCs w:val="30"/>
        </w:rPr>
        <w:t xml:space="preserve"> является межведомственная распределенная информационная система «Банк данных электронных паспортов товаров».</w:t>
      </w:r>
    </w:p>
    <w:p w14:paraId="3E2C0E55" w14:textId="3BEBD06F" w:rsidR="002735B6" w:rsidRPr="00765AE4" w:rsidRDefault="002735B6" w:rsidP="00765AE4">
      <w:pPr>
        <w:tabs>
          <w:tab w:val="left" w:pos="6840"/>
        </w:tabs>
        <w:ind w:firstLine="709"/>
        <w:jc w:val="both"/>
        <w:rPr>
          <w:szCs w:val="30"/>
        </w:rPr>
      </w:pPr>
      <w:r w:rsidRPr="00765AE4">
        <w:rPr>
          <w:bCs/>
          <w:szCs w:val="30"/>
        </w:rPr>
        <w:t xml:space="preserve">Одновременно пункты 17 и 25 Положения № 924/16 дополняется нормами, предусматривающими, что не допускается использование кассового аппарата (программной кассы) в случае, если они </w:t>
      </w:r>
      <w:r w:rsidRPr="00765AE4">
        <w:rPr>
          <w:szCs w:val="30"/>
        </w:rPr>
        <w:t>используются в торговом объекте с торговой площадью 200 квадратных метров и более, за исключением объектов потребительской кооперации, расположенных на территории сельской местности, и магазинов беспошлинной торговли, не обеспечивает дифференцированный учет, а также дифференцированный учет данных о товарах, подлежащих товарной нумерации и штриховому кодированию, с использованием информации, содержащейся в межведомственной распределенной информационной системе «Банк данных электронных паспортов товаров</w:t>
      </w:r>
      <w:r w:rsidR="004A789F">
        <w:rPr>
          <w:szCs w:val="30"/>
        </w:rPr>
        <w:t>»</w:t>
      </w:r>
      <w:r w:rsidRPr="00765AE4">
        <w:rPr>
          <w:szCs w:val="30"/>
        </w:rPr>
        <w:t>.</w:t>
      </w:r>
    </w:p>
    <w:p w14:paraId="18CF4AAF" w14:textId="77777777" w:rsidR="00074256" w:rsidRPr="00765AE4" w:rsidRDefault="00074256" w:rsidP="00074256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норм</w:t>
      </w:r>
      <w:r>
        <w:rPr>
          <w:szCs w:val="30"/>
        </w:rPr>
        <w:t>ы</w:t>
      </w:r>
      <w:r w:rsidRPr="00765AE4">
        <w:rPr>
          <w:szCs w:val="30"/>
        </w:rPr>
        <w:t xml:space="preserve"> вступа</w:t>
      </w:r>
      <w:r>
        <w:rPr>
          <w:szCs w:val="30"/>
        </w:rPr>
        <w:t>ю</w:t>
      </w:r>
      <w:r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Pr="00765AE4">
        <w:rPr>
          <w:szCs w:val="30"/>
        </w:rPr>
        <w:t>.</w:t>
      </w:r>
    </w:p>
    <w:p w14:paraId="6E488043" w14:textId="77035955" w:rsidR="0003246D" w:rsidRDefault="004A789F" w:rsidP="00765AE4">
      <w:pPr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8. </w:t>
      </w:r>
      <w:r w:rsidR="00CC042E" w:rsidRPr="00765AE4">
        <w:rPr>
          <w:szCs w:val="30"/>
        </w:rPr>
        <w:t xml:space="preserve">Постановлением </w:t>
      </w:r>
      <w:r w:rsidR="00FF65FE" w:rsidRPr="00765AE4">
        <w:rPr>
          <w:szCs w:val="30"/>
        </w:rPr>
        <w:t xml:space="preserve">№ 841/27 </w:t>
      </w:r>
      <w:r w:rsidR="00CC042E" w:rsidRPr="00106CE7">
        <w:rPr>
          <w:b/>
          <w:szCs w:val="30"/>
        </w:rPr>
        <w:t>вносятся изменения в пункт 5</w:t>
      </w:r>
      <w:r w:rsidR="00CC042E" w:rsidRPr="00106CE7">
        <w:rPr>
          <w:b/>
          <w:szCs w:val="30"/>
          <w:vertAlign w:val="superscript"/>
        </w:rPr>
        <w:t>1</w:t>
      </w:r>
      <w:r w:rsidR="00CC042E" w:rsidRPr="00106CE7">
        <w:rPr>
          <w:b/>
          <w:szCs w:val="30"/>
        </w:rPr>
        <w:t xml:space="preserve"> Положения № 924/16</w:t>
      </w:r>
      <w:r w:rsidR="00CC042E" w:rsidRPr="00765AE4">
        <w:rPr>
          <w:szCs w:val="30"/>
        </w:rPr>
        <w:t xml:space="preserve"> предусматривающие, что выдача наличных денежных средств в организациях торговли (сервиса) в рамках заключенных договоров с платежными агрегаторами, национальным оператором почтовой связи может осуществляться не только при использовании карточек, но и иных платежных инструментов. Оформление таких операций может проводиться не только через карточный платежный терминал, но и с использованием платежного терминала. Кроме того, предусмотрена возможность осуществлять такую операцию </w:t>
      </w:r>
      <w:r w:rsidR="00074256">
        <w:rPr>
          <w:szCs w:val="30"/>
        </w:rPr>
        <w:t xml:space="preserve">путем </w:t>
      </w:r>
      <w:r w:rsidR="0003246D" w:rsidRPr="0003246D">
        <w:rPr>
          <w:szCs w:val="30"/>
        </w:rPr>
        <w:t>выполне</w:t>
      </w:r>
      <w:r w:rsidR="00074256">
        <w:rPr>
          <w:szCs w:val="30"/>
        </w:rPr>
        <w:t>ния</w:t>
      </w:r>
      <w:r w:rsidR="0003246D" w:rsidRPr="0003246D">
        <w:rPr>
          <w:szCs w:val="30"/>
        </w:rPr>
        <w:t xml:space="preserve"> операци</w:t>
      </w:r>
      <w:r w:rsidR="00074256">
        <w:rPr>
          <w:szCs w:val="30"/>
        </w:rPr>
        <w:t>и</w:t>
      </w:r>
      <w:r w:rsidR="0003246D" w:rsidRPr="0003246D">
        <w:rPr>
          <w:szCs w:val="30"/>
        </w:rPr>
        <w:t xml:space="preserve"> регистрации изъятия суммы наличных денежных средств из ящика для денег, соответствующую сумме, подлежащей выдаче держателю банковской платежной карточки, иного платежного инструмента</w:t>
      </w:r>
      <w:r w:rsidR="00074256">
        <w:rPr>
          <w:szCs w:val="30"/>
        </w:rPr>
        <w:t>.</w:t>
      </w:r>
    </w:p>
    <w:p w14:paraId="0E7262BD" w14:textId="62634472" w:rsidR="0003246D" w:rsidRPr="00765AE4" w:rsidRDefault="00074256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Указанная</w:t>
      </w:r>
      <w:r w:rsidR="0003246D" w:rsidRPr="00765AE4">
        <w:rPr>
          <w:bCs/>
          <w:szCs w:val="30"/>
        </w:rPr>
        <w:t xml:space="preserve"> норма вступает в силу после официального опубликования постановления </w:t>
      </w:r>
      <w:r w:rsidR="0003246D" w:rsidRPr="00765AE4">
        <w:rPr>
          <w:szCs w:val="30"/>
        </w:rPr>
        <w:t>№ 841/27</w:t>
      </w:r>
      <w:r>
        <w:rPr>
          <w:szCs w:val="30"/>
        </w:rPr>
        <w:t xml:space="preserve"> (с 10.12.2022)</w:t>
      </w:r>
      <w:r w:rsidR="0003246D" w:rsidRPr="00765AE4">
        <w:rPr>
          <w:bCs/>
          <w:szCs w:val="30"/>
        </w:rPr>
        <w:t>.</w:t>
      </w:r>
    </w:p>
    <w:p w14:paraId="7479EFEC" w14:textId="09619645" w:rsidR="003B04B7" w:rsidRPr="00765AE4" w:rsidRDefault="004A789F" w:rsidP="00765AE4">
      <w:pPr>
        <w:ind w:firstLine="709"/>
        <w:jc w:val="both"/>
        <w:rPr>
          <w:szCs w:val="30"/>
        </w:rPr>
      </w:pPr>
      <w:r>
        <w:rPr>
          <w:szCs w:val="30"/>
        </w:rPr>
        <w:t xml:space="preserve">9. </w:t>
      </w:r>
      <w:r w:rsidR="0003246D" w:rsidRPr="00765AE4">
        <w:rPr>
          <w:szCs w:val="30"/>
        </w:rPr>
        <w:t xml:space="preserve">В целях недопущения создания предпосылок для искажения данных о принятой выручке постановлением </w:t>
      </w:r>
      <w:r w:rsidR="009D325A" w:rsidRPr="00765AE4">
        <w:rPr>
          <w:szCs w:val="30"/>
        </w:rPr>
        <w:t xml:space="preserve">№ 841/27 </w:t>
      </w:r>
      <w:r w:rsidR="003B04B7" w:rsidRPr="00106CE7">
        <w:rPr>
          <w:b/>
          <w:szCs w:val="30"/>
        </w:rPr>
        <w:t>расширен перечень случаев</w:t>
      </w:r>
      <w:r w:rsidR="003B04B7" w:rsidRPr="00765AE4">
        <w:rPr>
          <w:szCs w:val="30"/>
        </w:rPr>
        <w:t xml:space="preserve">, когда не допускается использование кассовых аппаратов </w:t>
      </w:r>
      <w:r w:rsidR="003C6FAF" w:rsidRPr="00765AE4">
        <w:rPr>
          <w:szCs w:val="30"/>
        </w:rPr>
        <w:t>(пункт 17 Положения № 924/16)</w:t>
      </w:r>
      <w:r w:rsidR="003C6FAF">
        <w:rPr>
          <w:szCs w:val="30"/>
        </w:rPr>
        <w:t xml:space="preserve">, </w:t>
      </w:r>
      <w:r w:rsidR="0003246D" w:rsidRPr="00765AE4">
        <w:rPr>
          <w:szCs w:val="30"/>
        </w:rPr>
        <w:t>норм</w:t>
      </w:r>
      <w:r w:rsidR="003B04B7" w:rsidRPr="00765AE4">
        <w:rPr>
          <w:szCs w:val="30"/>
        </w:rPr>
        <w:t xml:space="preserve">ой </w:t>
      </w:r>
      <w:r w:rsidR="0003246D" w:rsidRPr="00765AE4">
        <w:rPr>
          <w:szCs w:val="30"/>
        </w:rPr>
        <w:t xml:space="preserve">о запрете </w:t>
      </w:r>
      <w:r w:rsidR="0003246D" w:rsidRPr="00765AE4">
        <w:rPr>
          <w:szCs w:val="30"/>
        </w:rPr>
        <w:lastRenderedPageBreak/>
        <w:t xml:space="preserve">использования кассовых аппаратов в случае, </w:t>
      </w:r>
      <w:r w:rsidR="003C6FAF">
        <w:rPr>
          <w:szCs w:val="30"/>
        </w:rPr>
        <w:t xml:space="preserve">если </w:t>
      </w:r>
      <w:r w:rsidR="003B04B7" w:rsidRPr="00765AE4">
        <w:rPr>
          <w:szCs w:val="30"/>
        </w:rPr>
        <w:t>кассовый аппарат используется в виде отдельных агрегируемых устройств, соединенных между собой по беспроводным интерфейсам, если такие агрегируемые устройства расположены вне одного торгового объекта, объекта общественного питания, объекта сферы услуг, в котором используется такой кассовый аппарат.</w:t>
      </w:r>
    </w:p>
    <w:p w14:paraId="706BE869" w14:textId="08D97E78" w:rsidR="00234656" w:rsidRPr="00234656" w:rsidRDefault="00A637D9" w:rsidP="00765AE4">
      <w:pPr>
        <w:tabs>
          <w:tab w:val="left" w:pos="6840"/>
        </w:tabs>
        <w:ind w:firstLine="709"/>
        <w:jc w:val="both"/>
        <w:rPr>
          <w:szCs w:val="30"/>
        </w:rPr>
      </w:pPr>
      <w:r>
        <w:rPr>
          <w:szCs w:val="30"/>
        </w:rPr>
        <w:t>Указанная н</w:t>
      </w:r>
      <w:r w:rsidR="00234656" w:rsidRPr="00234656">
        <w:rPr>
          <w:szCs w:val="30"/>
        </w:rPr>
        <w:t>орма вступает в силу с 1 июля 2025 г.</w:t>
      </w:r>
    </w:p>
    <w:p w14:paraId="38A46645" w14:textId="77473D3C" w:rsidR="00A637D9" w:rsidRPr="00A637D9" w:rsidRDefault="003C6FAF" w:rsidP="00522683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10. </w:t>
      </w:r>
      <w:r w:rsidR="00A637D9">
        <w:rPr>
          <w:szCs w:val="30"/>
        </w:rPr>
        <w:t>Также п</w:t>
      </w:r>
      <w:r w:rsidR="00234656" w:rsidRPr="00765AE4">
        <w:rPr>
          <w:szCs w:val="30"/>
        </w:rPr>
        <w:t xml:space="preserve">остановлением № 841/27 </w:t>
      </w:r>
      <w:r w:rsidR="00A637D9">
        <w:rPr>
          <w:szCs w:val="30"/>
        </w:rPr>
        <w:t>вносятся изменения в</w:t>
      </w:r>
      <w:r w:rsidR="00234656" w:rsidRPr="00234656">
        <w:rPr>
          <w:szCs w:val="30"/>
        </w:rPr>
        <w:t xml:space="preserve"> постановлени</w:t>
      </w:r>
      <w:r w:rsidR="00A637D9">
        <w:rPr>
          <w:szCs w:val="30"/>
        </w:rPr>
        <w:t>е</w:t>
      </w:r>
      <w:r w:rsidR="00234656" w:rsidRPr="00234656">
        <w:rPr>
          <w:szCs w:val="30"/>
        </w:rPr>
        <w:t xml:space="preserve"> Совета Министров Республики Беларусь и Национального банка Республики Беларусь от 3 марта 2022 г. № 114/6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A637D9">
        <w:rPr>
          <w:szCs w:val="30"/>
        </w:rPr>
        <w:t xml:space="preserve">, предусматривающие </w:t>
      </w:r>
      <w:r w:rsidR="00A637D9" w:rsidRPr="00810BE9">
        <w:rPr>
          <w:b/>
          <w:szCs w:val="30"/>
        </w:rPr>
        <w:t>перенос</w:t>
      </w:r>
      <w:r w:rsidR="00234656" w:rsidRPr="00810BE9">
        <w:rPr>
          <w:b/>
          <w:szCs w:val="30"/>
        </w:rPr>
        <w:t xml:space="preserve"> запрет</w:t>
      </w:r>
      <w:r w:rsidR="00A637D9" w:rsidRPr="00810BE9">
        <w:rPr>
          <w:b/>
          <w:szCs w:val="30"/>
        </w:rPr>
        <w:t>а на</w:t>
      </w:r>
      <w:r w:rsidR="00234656" w:rsidRPr="00810BE9">
        <w:rPr>
          <w:b/>
          <w:szCs w:val="30"/>
        </w:rPr>
        <w:t xml:space="preserve"> использовани</w:t>
      </w:r>
      <w:r w:rsidR="00A637D9" w:rsidRPr="00810BE9">
        <w:rPr>
          <w:b/>
          <w:szCs w:val="30"/>
        </w:rPr>
        <w:t>е</w:t>
      </w:r>
      <w:r w:rsidR="00234656" w:rsidRPr="00810BE9">
        <w:rPr>
          <w:b/>
          <w:szCs w:val="30"/>
        </w:rPr>
        <w:t xml:space="preserve"> кассовых аппаратов</w:t>
      </w:r>
      <w:r w:rsidR="00234656" w:rsidRPr="00765AE4">
        <w:rPr>
          <w:szCs w:val="30"/>
        </w:rPr>
        <w:t>, не соответствующих требованиям, определенным Министерством по налогам и сборам и Государственным комитетом по стандартизации</w:t>
      </w:r>
      <w:r w:rsidR="00A637D9">
        <w:rPr>
          <w:szCs w:val="30"/>
        </w:rPr>
        <w:t xml:space="preserve"> в п</w:t>
      </w:r>
      <w:r w:rsidR="00A637D9" w:rsidRPr="00A158C1">
        <w:rPr>
          <w:szCs w:val="30"/>
        </w:rPr>
        <w:t>остановлени</w:t>
      </w:r>
      <w:r w:rsidR="00A637D9">
        <w:rPr>
          <w:szCs w:val="30"/>
        </w:rPr>
        <w:t xml:space="preserve">и от 14 октября 2022 г. № 22/99, </w:t>
      </w:r>
      <w:r w:rsidR="00234656" w:rsidRPr="00765AE4">
        <w:rPr>
          <w:szCs w:val="30"/>
        </w:rPr>
        <w:t>на 1 июля 2025 г.</w:t>
      </w:r>
      <w:r w:rsidR="00522683">
        <w:rPr>
          <w:szCs w:val="30"/>
        </w:rPr>
        <w:t xml:space="preserve"> </w:t>
      </w:r>
      <w:r w:rsidR="00A637D9" w:rsidRPr="00A637D9">
        <w:rPr>
          <w:szCs w:val="30"/>
        </w:rPr>
        <w:t xml:space="preserve">Такой подход позволит субъектам хозяйствования использовать </w:t>
      </w:r>
      <w:r w:rsidR="00A637D9" w:rsidRPr="00A637D9">
        <w:rPr>
          <w:szCs w:val="30"/>
        </w:rPr>
        <w:br/>
        <w:t>до 1 июля 2025 г. имеющиеся у них кассовые аппараты, которые должны быть доработаны их производителями до требований, установленных в постановлении от 14 октября 2022 г. № 22/99</w:t>
      </w:r>
      <w:r w:rsidR="00522683">
        <w:rPr>
          <w:szCs w:val="30"/>
        </w:rPr>
        <w:t>.</w:t>
      </w:r>
    </w:p>
    <w:p w14:paraId="532D74D9" w14:textId="1660231E" w:rsidR="001E52DE" w:rsidRPr="006B5779" w:rsidRDefault="00810BE9" w:rsidP="00765AE4">
      <w:pPr>
        <w:ind w:firstLine="709"/>
        <w:jc w:val="both"/>
        <w:rPr>
          <w:szCs w:val="30"/>
        </w:rPr>
      </w:pPr>
      <w:r>
        <w:rPr>
          <w:szCs w:val="30"/>
        </w:rPr>
        <w:t>При этом п</w:t>
      </w:r>
      <w:r w:rsidR="001E52DE" w:rsidRPr="00765AE4">
        <w:rPr>
          <w:szCs w:val="30"/>
        </w:rPr>
        <w:t xml:space="preserve">унктом 2 постановления № 841/27 установлено, </w:t>
      </w:r>
      <w:r w:rsidR="001E52DE" w:rsidRPr="00765AE4">
        <w:t xml:space="preserve">что </w:t>
      </w:r>
      <w:r>
        <w:br/>
      </w:r>
      <w:r w:rsidR="001E52DE" w:rsidRPr="00765AE4">
        <w:t xml:space="preserve">до 1 июля 2025 г. </w:t>
      </w:r>
      <w:r w:rsidR="001E52DE" w:rsidRPr="00810BE9">
        <w:rPr>
          <w:b/>
        </w:rPr>
        <w:t>допускается выпуск в обращение</w:t>
      </w:r>
      <w:r w:rsidR="001E52DE" w:rsidRPr="00765AE4">
        <w:t xml:space="preserve"> кассовых аппаратов, модели (модификации) которых включены в Государственный реестр, соответствующие требованиям к кассовым аппаратам, </w:t>
      </w:r>
      <w:r w:rsidR="001E52DE" w:rsidRPr="00765AE4">
        <w:rPr>
          <w:szCs w:val="30"/>
        </w:rPr>
        <w:t xml:space="preserve">определенным Министерством по налогам и сборам совместно с Государственным комитетом по стандартизации. При этом, под выпуском в обращение кассовых аппаратов понимается реализация кассовых аппаратов на территории Республики Беларусь или передача их иным способом </w:t>
      </w:r>
      <w:r w:rsidR="001E52DE" w:rsidRPr="006B5779">
        <w:rPr>
          <w:szCs w:val="30"/>
        </w:rPr>
        <w:t>потребителям, за исключением кассовых аппаратов, находящихся в установленном порядке в пользовании у юридических лиц и индивидуальных предпринимателей.</w:t>
      </w:r>
    </w:p>
    <w:p w14:paraId="4A1A5383" w14:textId="1D914F71" w:rsidR="006B5779" w:rsidRPr="006B5779" w:rsidRDefault="006B5779" w:rsidP="00765AE4">
      <w:pPr>
        <w:ind w:firstLine="709"/>
        <w:jc w:val="both"/>
        <w:rPr>
          <w:szCs w:val="30"/>
        </w:rPr>
      </w:pPr>
      <w:r w:rsidRPr="006B5779">
        <w:rPr>
          <w:szCs w:val="30"/>
        </w:rPr>
        <w:t>Постановление № 841/</w:t>
      </w:r>
      <w:r w:rsidR="00802912" w:rsidRPr="006B5779">
        <w:rPr>
          <w:szCs w:val="30"/>
        </w:rPr>
        <w:t xml:space="preserve">27 </w:t>
      </w:r>
      <w:r w:rsidR="00802912" w:rsidRPr="00802912">
        <w:rPr>
          <w:szCs w:val="30"/>
        </w:rPr>
        <w:t>опубликовано</w:t>
      </w:r>
      <w:r w:rsidR="00802912">
        <w:rPr>
          <w:szCs w:val="30"/>
        </w:rPr>
        <w:t xml:space="preserve"> </w:t>
      </w:r>
      <w:r>
        <w:rPr>
          <w:szCs w:val="30"/>
        </w:rPr>
        <w:t xml:space="preserve">на </w:t>
      </w:r>
      <w:r w:rsidRPr="006B5779">
        <w:rPr>
          <w:rFonts w:eastAsiaTheme="minorHAnsi"/>
          <w:szCs w:val="30"/>
          <w:lang w:eastAsia="en-US"/>
        </w:rPr>
        <w:t>Национальн</w:t>
      </w:r>
      <w:r>
        <w:rPr>
          <w:rFonts w:eastAsiaTheme="minorHAnsi"/>
          <w:szCs w:val="30"/>
          <w:lang w:eastAsia="en-US"/>
        </w:rPr>
        <w:t>ом</w:t>
      </w:r>
      <w:r w:rsidRPr="006B5779">
        <w:rPr>
          <w:rFonts w:eastAsiaTheme="minorHAnsi"/>
          <w:szCs w:val="30"/>
          <w:lang w:eastAsia="en-US"/>
        </w:rPr>
        <w:t xml:space="preserve"> правово</w:t>
      </w:r>
      <w:r>
        <w:rPr>
          <w:rFonts w:eastAsiaTheme="minorHAnsi"/>
          <w:szCs w:val="30"/>
          <w:lang w:eastAsia="en-US"/>
        </w:rPr>
        <w:t>м</w:t>
      </w:r>
      <w:r w:rsidRPr="006B5779">
        <w:rPr>
          <w:rFonts w:eastAsiaTheme="minorHAnsi"/>
          <w:szCs w:val="30"/>
          <w:lang w:eastAsia="en-US"/>
        </w:rPr>
        <w:t xml:space="preserve"> Интернет-портал</w:t>
      </w:r>
      <w:r>
        <w:rPr>
          <w:rFonts w:eastAsiaTheme="minorHAnsi"/>
          <w:szCs w:val="30"/>
          <w:lang w:eastAsia="en-US"/>
        </w:rPr>
        <w:t>е</w:t>
      </w:r>
      <w:r w:rsidR="00700456">
        <w:rPr>
          <w:rFonts w:eastAsiaTheme="minorHAnsi"/>
          <w:szCs w:val="30"/>
          <w:lang w:eastAsia="en-US"/>
        </w:rPr>
        <w:t xml:space="preserve"> Республики Беларусь 09.12.2022.</w:t>
      </w:r>
    </w:p>
    <w:sectPr w:rsidR="006B5779" w:rsidRPr="006B5779" w:rsidSect="00A105A5">
      <w:headerReference w:type="default" r:id="rId8"/>
      <w:headerReference w:type="first" r:id="rId9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7370" w14:textId="77777777" w:rsidR="000151BA" w:rsidRDefault="000151BA">
      <w:r>
        <w:separator/>
      </w:r>
    </w:p>
  </w:endnote>
  <w:endnote w:type="continuationSeparator" w:id="0">
    <w:p w14:paraId="3E60487A" w14:textId="77777777" w:rsidR="000151BA" w:rsidRDefault="0001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60CA" w14:textId="77777777" w:rsidR="000151BA" w:rsidRDefault="000151BA">
      <w:r>
        <w:separator/>
      </w:r>
    </w:p>
  </w:footnote>
  <w:footnote w:type="continuationSeparator" w:id="0">
    <w:p w14:paraId="13A30471" w14:textId="77777777" w:rsidR="000151BA" w:rsidRDefault="0001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243363"/>
      <w:docPartObj>
        <w:docPartGallery w:val="Page Numbers (Top of Page)"/>
        <w:docPartUnique/>
      </w:docPartObj>
    </w:sdtPr>
    <w:sdtContent>
      <w:p w14:paraId="20A00272" w14:textId="65C1536D" w:rsidR="00C13254" w:rsidRDefault="00AB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387C" w14:textId="77777777" w:rsidR="00C13254" w:rsidRDefault="00C132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6B5"/>
    <w:multiLevelType w:val="hybridMultilevel"/>
    <w:tmpl w:val="158C0892"/>
    <w:lvl w:ilvl="0" w:tplc="3E9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0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B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8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A186B"/>
    <w:multiLevelType w:val="hybridMultilevel"/>
    <w:tmpl w:val="37228DBE"/>
    <w:lvl w:ilvl="0" w:tplc="795C3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D36CB1"/>
    <w:multiLevelType w:val="hybridMultilevel"/>
    <w:tmpl w:val="3F5C08F6"/>
    <w:lvl w:ilvl="0" w:tplc="1F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2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D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2638A3"/>
    <w:multiLevelType w:val="hybridMultilevel"/>
    <w:tmpl w:val="20769AD0"/>
    <w:lvl w:ilvl="0" w:tplc="96C8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A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4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2A1B77"/>
    <w:multiLevelType w:val="hybridMultilevel"/>
    <w:tmpl w:val="D7D6CA98"/>
    <w:lvl w:ilvl="0" w:tplc="D88E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1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4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8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0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E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DB67A5"/>
    <w:multiLevelType w:val="hybridMultilevel"/>
    <w:tmpl w:val="0658B77A"/>
    <w:lvl w:ilvl="0" w:tplc="34C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8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2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C3386E"/>
    <w:multiLevelType w:val="hybridMultilevel"/>
    <w:tmpl w:val="53C8B4F0"/>
    <w:lvl w:ilvl="0" w:tplc="67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95079D"/>
    <w:multiLevelType w:val="hybridMultilevel"/>
    <w:tmpl w:val="CAE09D3C"/>
    <w:lvl w:ilvl="0" w:tplc="4822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44AA"/>
    <w:multiLevelType w:val="hybridMultilevel"/>
    <w:tmpl w:val="EE3AE128"/>
    <w:lvl w:ilvl="0" w:tplc="62722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AD5C5D"/>
    <w:multiLevelType w:val="hybridMultilevel"/>
    <w:tmpl w:val="26D05716"/>
    <w:lvl w:ilvl="0" w:tplc="5A2EF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7453631">
    <w:abstractNumId w:val="6"/>
  </w:num>
  <w:num w:numId="2" w16cid:durableId="614756290">
    <w:abstractNumId w:val="7"/>
  </w:num>
  <w:num w:numId="3" w16cid:durableId="1917547481">
    <w:abstractNumId w:val="2"/>
  </w:num>
  <w:num w:numId="4" w16cid:durableId="785083677">
    <w:abstractNumId w:val="4"/>
  </w:num>
  <w:num w:numId="5" w16cid:durableId="2125033306">
    <w:abstractNumId w:val="9"/>
  </w:num>
  <w:num w:numId="6" w16cid:durableId="375089420">
    <w:abstractNumId w:val="3"/>
  </w:num>
  <w:num w:numId="7" w16cid:durableId="299186859">
    <w:abstractNumId w:val="0"/>
  </w:num>
  <w:num w:numId="8" w16cid:durableId="163858440">
    <w:abstractNumId w:val="1"/>
  </w:num>
  <w:num w:numId="9" w16cid:durableId="574896604">
    <w:abstractNumId w:val="5"/>
  </w:num>
  <w:num w:numId="10" w16cid:durableId="307824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6D"/>
    <w:rsid w:val="00014DDF"/>
    <w:rsid w:val="000151BA"/>
    <w:rsid w:val="00021026"/>
    <w:rsid w:val="00023A53"/>
    <w:rsid w:val="00024837"/>
    <w:rsid w:val="0003246D"/>
    <w:rsid w:val="000567AD"/>
    <w:rsid w:val="0005777A"/>
    <w:rsid w:val="0007020C"/>
    <w:rsid w:val="00074256"/>
    <w:rsid w:val="00094067"/>
    <w:rsid w:val="000A0D2C"/>
    <w:rsid w:val="00106CE7"/>
    <w:rsid w:val="0011263A"/>
    <w:rsid w:val="00113791"/>
    <w:rsid w:val="0017149B"/>
    <w:rsid w:val="001B1C16"/>
    <w:rsid w:val="001D725B"/>
    <w:rsid w:val="001E52DE"/>
    <w:rsid w:val="001F2FD6"/>
    <w:rsid w:val="002019FD"/>
    <w:rsid w:val="002043D8"/>
    <w:rsid w:val="00234656"/>
    <w:rsid w:val="00236F79"/>
    <w:rsid w:val="002601BA"/>
    <w:rsid w:val="002735B6"/>
    <w:rsid w:val="0028298B"/>
    <w:rsid w:val="002A42FE"/>
    <w:rsid w:val="002A49FC"/>
    <w:rsid w:val="002C17C8"/>
    <w:rsid w:val="002C3D0C"/>
    <w:rsid w:val="002D2E3D"/>
    <w:rsid w:val="002D37E2"/>
    <w:rsid w:val="002D587E"/>
    <w:rsid w:val="002E22EA"/>
    <w:rsid w:val="002E39CD"/>
    <w:rsid w:val="00303F1F"/>
    <w:rsid w:val="00327C51"/>
    <w:rsid w:val="00341DAC"/>
    <w:rsid w:val="00357FE4"/>
    <w:rsid w:val="00361FED"/>
    <w:rsid w:val="00382811"/>
    <w:rsid w:val="00395DF5"/>
    <w:rsid w:val="003B04B7"/>
    <w:rsid w:val="003B23D4"/>
    <w:rsid w:val="003C18F6"/>
    <w:rsid w:val="003C6FAF"/>
    <w:rsid w:val="003D2E44"/>
    <w:rsid w:val="003E2995"/>
    <w:rsid w:val="003E68E9"/>
    <w:rsid w:val="00464A1B"/>
    <w:rsid w:val="004725CE"/>
    <w:rsid w:val="00495B92"/>
    <w:rsid w:val="00496CC6"/>
    <w:rsid w:val="004A789F"/>
    <w:rsid w:val="004B7A2E"/>
    <w:rsid w:val="004F5AE9"/>
    <w:rsid w:val="005078DA"/>
    <w:rsid w:val="00522683"/>
    <w:rsid w:val="00523264"/>
    <w:rsid w:val="00524DFC"/>
    <w:rsid w:val="00542426"/>
    <w:rsid w:val="005538C2"/>
    <w:rsid w:val="00563F01"/>
    <w:rsid w:val="00572DE5"/>
    <w:rsid w:val="005C6942"/>
    <w:rsid w:val="005D57F3"/>
    <w:rsid w:val="00644BD0"/>
    <w:rsid w:val="00646B09"/>
    <w:rsid w:val="00652A6D"/>
    <w:rsid w:val="00661C32"/>
    <w:rsid w:val="00666839"/>
    <w:rsid w:val="00672BE2"/>
    <w:rsid w:val="00680696"/>
    <w:rsid w:val="006B5779"/>
    <w:rsid w:val="006D521E"/>
    <w:rsid w:val="00700456"/>
    <w:rsid w:val="007208DC"/>
    <w:rsid w:val="00726311"/>
    <w:rsid w:val="0073406C"/>
    <w:rsid w:val="00737004"/>
    <w:rsid w:val="007452E7"/>
    <w:rsid w:val="0076490E"/>
    <w:rsid w:val="00765AE4"/>
    <w:rsid w:val="00776028"/>
    <w:rsid w:val="007972AA"/>
    <w:rsid w:val="007B1C1A"/>
    <w:rsid w:val="007D721A"/>
    <w:rsid w:val="007E0B68"/>
    <w:rsid w:val="0080094E"/>
    <w:rsid w:val="00802912"/>
    <w:rsid w:val="00802D10"/>
    <w:rsid w:val="00810BE9"/>
    <w:rsid w:val="008151B0"/>
    <w:rsid w:val="00820631"/>
    <w:rsid w:val="00826533"/>
    <w:rsid w:val="00831CDB"/>
    <w:rsid w:val="00841314"/>
    <w:rsid w:val="00854816"/>
    <w:rsid w:val="00866B24"/>
    <w:rsid w:val="008A2AA7"/>
    <w:rsid w:val="008D763D"/>
    <w:rsid w:val="00900E16"/>
    <w:rsid w:val="00912DD1"/>
    <w:rsid w:val="0091676D"/>
    <w:rsid w:val="00931A14"/>
    <w:rsid w:val="00933D87"/>
    <w:rsid w:val="00953C2C"/>
    <w:rsid w:val="00955433"/>
    <w:rsid w:val="00981CE6"/>
    <w:rsid w:val="0099070B"/>
    <w:rsid w:val="00993474"/>
    <w:rsid w:val="009D325A"/>
    <w:rsid w:val="009E006C"/>
    <w:rsid w:val="009F7DCB"/>
    <w:rsid w:val="00A105A5"/>
    <w:rsid w:val="00A17BA4"/>
    <w:rsid w:val="00A358F2"/>
    <w:rsid w:val="00A41B09"/>
    <w:rsid w:val="00A42F1C"/>
    <w:rsid w:val="00A637D9"/>
    <w:rsid w:val="00A91BD3"/>
    <w:rsid w:val="00AB3A4F"/>
    <w:rsid w:val="00AD7654"/>
    <w:rsid w:val="00AE0E9B"/>
    <w:rsid w:val="00AE313B"/>
    <w:rsid w:val="00B031F9"/>
    <w:rsid w:val="00B1718E"/>
    <w:rsid w:val="00B4111E"/>
    <w:rsid w:val="00B60B05"/>
    <w:rsid w:val="00B87436"/>
    <w:rsid w:val="00BC4764"/>
    <w:rsid w:val="00BD2C3E"/>
    <w:rsid w:val="00BD3C46"/>
    <w:rsid w:val="00BD6AB7"/>
    <w:rsid w:val="00BE18AE"/>
    <w:rsid w:val="00C13254"/>
    <w:rsid w:val="00C53467"/>
    <w:rsid w:val="00C54853"/>
    <w:rsid w:val="00C60E82"/>
    <w:rsid w:val="00C817EF"/>
    <w:rsid w:val="00C86960"/>
    <w:rsid w:val="00CC042E"/>
    <w:rsid w:val="00CE08E1"/>
    <w:rsid w:val="00CE18BE"/>
    <w:rsid w:val="00D00AD3"/>
    <w:rsid w:val="00D260D0"/>
    <w:rsid w:val="00D45B81"/>
    <w:rsid w:val="00D532BD"/>
    <w:rsid w:val="00D91B55"/>
    <w:rsid w:val="00DC4C66"/>
    <w:rsid w:val="00DE1977"/>
    <w:rsid w:val="00E446D6"/>
    <w:rsid w:val="00E81E7C"/>
    <w:rsid w:val="00E830AB"/>
    <w:rsid w:val="00E87096"/>
    <w:rsid w:val="00EB3503"/>
    <w:rsid w:val="00F3105C"/>
    <w:rsid w:val="00F67907"/>
    <w:rsid w:val="00F70B31"/>
    <w:rsid w:val="00FA7404"/>
    <w:rsid w:val="00FD182D"/>
    <w:rsid w:val="00FD61E6"/>
    <w:rsid w:val="00FF2014"/>
    <w:rsid w:val="00FF65FE"/>
    <w:rsid w:val="00FF6AA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F9DCB"/>
  <w15:docId w15:val="{4B3905A0-5886-4A30-9224-F4B1F140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qFormat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qFormat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2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2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6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0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5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BC31-2D41-400B-BFBF-5EBC8E5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Тимоховец Инна</cp:lastModifiedBy>
  <cp:revision>2</cp:revision>
  <cp:lastPrinted>2021-11-12T12:03:00Z</cp:lastPrinted>
  <dcterms:created xsi:type="dcterms:W3CDTF">2022-12-15T06:47:00Z</dcterms:created>
  <dcterms:modified xsi:type="dcterms:W3CDTF">2022-12-15T06:47:00Z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