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F4988" w14:textId="547C208B" w:rsidR="00F5082C" w:rsidRPr="00491E1D" w:rsidRDefault="008E135B" w:rsidP="00BB7C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обращения чеков «Имущество» продлен до конца 2020 года</w:t>
      </w:r>
    </w:p>
    <w:p w14:paraId="0A55355F" w14:textId="77777777" w:rsidR="00BB7C8A" w:rsidRPr="00491E1D" w:rsidRDefault="00BB7C8A" w:rsidP="0063545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1D">
        <w:rPr>
          <w:rFonts w:ascii="Times New Roman" w:hAnsi="Times New Roman" w:cs="Times New Roman"/>
          <w:sz w:val="28"/>
          <w:szCs w:val="28"/>
        </w:rPr>
        <w:t>Именной п</w:t>
      </w:r>
      <w:r w:rsidR="00086B85" w:rsidRPr="00491E1D">
        <w:rPr>
          <w:rFonts w:ascii="Times New Roman" w:hAnsi="Times New Roman" w:cs="Times New Roman"/>
          <w:sz w:val="28"/>
          <w:szCs w:val="28"/>
        </w:rPr>
        <w:t xml:space="preserve">риватизационный чек «Имущество» </w:t>
      </w:r>
      <w:r w:rsidRPr="00491E1D">
        <w:rPr>
          <w:rFonts w:ascii="Times New Roman" w:hAnsi="Times New Roman" w:cs="Times New Roman"/>
          <w:sz w:val="28"/>
          <w:szCs w:val="28"/>
        </w:rPr>
        <w:t>является государственной ценной бумагой Республики Беларусь, свидетельствующей о праве его владельца на долю приватизируемой государственной собственности, выражает размер этой доли и возможность распорядиться ею. Чеки «Имущество» выпускались в бездокументарном виде в форме записей на специальных чековых счетах, которые открывались гражданам в ОАО «АСБ</w:t>
      </w:r>
      <w:r w:rsidR="00BC50A2">
        <w:rPr>
          <w:rFonts w:ascii="Times New Roman" w:hAnsi="Times New Roman" w:cs="Times New Roman"/>
          <w:sz w:val="28"/>
          <w:szCs w:val="28"/>
        </w:rPr>
        <w:t xml:space="preserve"> </w:t>
      </w:r>
      <w:r w:rsidRPr="00491E1D">
        <w:rPr>
          <w:rFonts w:ascii="Times New Roman" w:hAnsi="Times New Roman" w:cs="Times New Roman"/>
          <w:sz w:val="28"/>
          <w:szCs w:val="28"/>
        </w:rPr>
        <w:t>Беларусбанк» по месту их жительства. Гражданам при этом выдавались сертификаты чеков «Имущество», которые являлись документом, подтверждающим, что граждане владеют определенным количеством чеков «Имущество»</w:t>
      </w:r>
      <w:r w:rsidR="008E135B">
        <w:rPr>
          <w:rFonts w:ascii="Times New Roman" w:hAnsi="Times New Roman" w:cs="Times New Roman"/>
          <w:sz w:val="28"/>
          <w:szCs w:val="28"/>
        </w:rPr>
        <w:t>.</w:t>
      </w:r>
    </w:p>
    <w:p w14:paraId="01ED3231" w14:textId="77777777" w:rsidR="008E135B" w:rsidRDefault="008E135B" w:rsidP="0063545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обращения чеков неоднократно продлялся. В соответствии с постановлением Совета Министров Республики Беларусь от 28 февраля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3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134 срок обращения чеков «Имущество» установлен по 31 декабря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AB2984" w14:textId="77777777" w:rsidR="00BA098F" w:rsidRPr="00BA098F" w:rsidRDefault="00BA098F" w:rsidP="0063545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соответствии с действующим законодательством Республики Беларусь граждане могут использовать именные приватизационные чеки «Имущество» в качестве средства оплаты при приобретении в собственность акций открытых акционерных обществ.</w:t>
      </w:r>
    </w:p>
    <w:p w14:paraId="1F60F2C8" w14:textId="77777777" w:rsidR="00BA098F" w:rsidRPr="00491E1D" w:rsidRDefault="00BA098F" w:rsidP="0063545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акций на чеки «Имущество» произво</w:t>
      </w:r>
      <w:r w:rsidR="005003AE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любом подразделении ОАО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«АСБ Беларусбанк», выполняющем данную операцию. Однако произвести обмен чеков «Имущество» можно на акции тех предприятий, акции которых обмениваются в подразделении ОАО «АСБ Беларусбанк», в котором открыт специальный чековый счет на имя гражданина. Для осуществления процедуры обмена граждан</w:t>
      </w:r>
      <w:r w:rsidR="009C5750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необходимо обратиться в ОАО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«АСБ Беларусбанк» с документом, удостоверяющим личность, и сертификатом чеков «Имущество».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C73" w:rsidRPr="00491E1D">
        <w:rPr>
          <w:rFonts w:ascii="Times New Roman" w:hAnsi="Times New Roman" w:cs="Times New Roman"/>
          <w:sz w:val="28"/>
          <w:szCs w:val="28"/>
        </w:rPr>
        <w:t xml:space="preserve">Жителям г. Волковыска необходимо обратиться в отделение </w:t>
      </w:r>
      <w:r w:rsidR="007B4C73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«АСБ Беларусбанк»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C73" w:rsidRPr="00491E1D">
        <w:rPr>
          <w:rFonts w:ascii="Times New Roman" w:hAnsi="Times New Roman" w:cs="Times New Roman"/>
          <w:sz w:val="28"/>
          <w:szCs w:val="28"/>
        </w:rPr>
        <w:t>филиал № 402 (г. Волковыск, ул. Советская, 20).</w:t>
      </w:r>
    </w:p>
    <w:p w14:paraId="654EAA70" w14:textId="77777777" w:rsidR="00491E1D" w:rsidRPr="00491E1D" w:rsidRDefault="00BA098F" w:rsidP="00635453">
      <w:pPr>
        <w:ind w:firstLine="709"/>
        <w:rPr>
          <w:sz w:val="28"/>
          <w:szCs w:val="28"/>
        </w:rPr>
      </w:pP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ознакомиться с перечнем открытых акционерных обществ</w:t>
      </w:r>
      <w:r w:rsidR="008E13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CB4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принадлежащие Волковысскому району</w:t>
      </w:r>
      <w:r w:rsidR="004E4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которых </w:t>
      </w:r>
      <w:r w:rsidR="00C13CB4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обмениваются на </w:t>
      </w: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именные приватизационные чеки «Имущество» </w:t>
      </w:r>
      <w:r w:rsidR="00F962BB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обособленное подразделение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1E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«АСБ Беларусбанк» </w:t>
      </w:r>
      <w:r w:rsidR="003D03F1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402 </w:t>
      </w:r>
      <w:r w:rsidR="00176B1E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Волковыск, ул. Советская, 20)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4E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135B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 2019</w:t>
      </w: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</w:t>
      </w:r>
      <w:r w:rsidR="004E47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902"/>
        <w:gridCol w:w="937"/>
        <w:gridCol w:w="1260"/>
        <w:gridCol w:w="1701"/>
        <w:gridCol w:w="1843"/>
      </w:tblGrid>
      <w:tr w:rsidR="00B40BDD" w:rsidRPr="00D76A42" w14:paraId="4D1CBB80" w14:textId="77777777" w:rsidTr="00342052">
        <w:trPr>
          <w:trHeight w:val="79"/>
          <w:jc w:val="center"/>
        </w:trPr>
        <w:tc>
          <w:tcPr>
            <w:tcW w:w="561" w:type="dxa"/>
            <w:vMerge w:val="restart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14:paraId="15ED64FB" w14:textId="77777777" w:rsidR="00E91B20" w:rsidRPr="00E91B20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02" w:type="dxa"/>
            <w:vMerge w:val="restart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14:paraId="4F479FF0" w14:textId="77777777" w:rsidR="00E91B20" w:rsidRPr="00E91B20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открытого акционерного общества</w:t>
            </w:r>
          </w:p>
        </w:tc>
        <w:tc>
          <w:tcPr>
            <w:tcW w:w="2197" w:type="dxa"/>
            <w:gridSpan w:val="2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14:paraId="09CFA138" w14:textId="77777777" w:rsidR="00E91B20" w:rsidRPr="00E91B20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акции</w:t>
            </w:r>
          </w:p>
        </w:tc>
        <w:tc>
          <w:tcPr>
            <w:tcW w:w="1701" w:type="dxa"/>
            <w:vMerge w:val="restart"/>
          </w:tcPr>
          <w:p w14:paraId="7D688B73" w14:textId="77777777" w:rsidR="00B40BDD" w:rsidRPr="00D76A42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Доведенный лимит обмена чеков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14:paraId="2EBABE21" w14:textId="77777777" w:rsidR="00E91B20" w:rsidRPr="00E91B20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Остаток лимита чеков для обмена</w:t>
            </w:r>
          </w:p>
        </w:tc>
      </w:tr>
      <w:tr w:rsidR="00B40BDD" w:rsidRPr="00D76A42" w14:paraId="27A8EBDA" w14:textId="77777777" w:rsidTr="00342052">
        <w:trPr>
          <w:trHeight w:val="154"/>
          <w:jc w:val="center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6251EA3A" w14:textId="77777777" w:rsidR="00B40BDD" w:rsidRPr="00E91B20" w:rsidRDefault="00B40BDD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  <w:hideMark/>
          </w:tcPr>
          <w:p w14:paraId="7B938CE8" w14:textId="77777777" w:rsidR="00B40BDD" w:rsidRPr="00E91B20" w:rsidRDefault="00B40BDD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7" w:type="dxa"/>
            <w:gridSpan w:val="2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14:paraId="66919850" w14:textId="77777777" w:rsidR="00E91B20" w:rsidRPr="00E91B20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701" w:type="dxa"/>
            <w:vMerge/>
          </w:tcPr>
          <w:p w14:paraId="7A8D34F6" w14:textId="77777777" w:rsidR="00B40BDD" w:rsidRPr="00D76A42" w:rsidRDefault="00B40BDD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635C3E5" w14:textId="77777777" w:rsidR="00B40BDD" w:rsidRPr="00E91B20" w:rsidRDefault="00B40BDD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0BDD" w:rsidRPr="00D76A42" w14:paraId="444DDED3" w14:textId="77777777" w:rsidTr="00342052">
        <w:trPr>
          <w:trHeight w:val="230"/>
          <w:jc w:val="center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166CE4DD" w14:textId="77777777" w:rsidR="00B40BDD" w:rsidRPr="00E91B20" w:rsidRDefault="00B40BDD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  <w:hideMark/>
          </w:tcPr>
          <w:p w14:paraId="6A949D84" w14:textId="77777777" w:rsidR="00B40BDD" w:rsidRPr="00E91B20" w:rsidRDefault="00B40BDD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14:paraId="626BC9BC" w14:textId="77777777" w:rsidR="00E91B20" w:rsidRPr="00E91B20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акций</w:t>
            </w:r>
          </w:p>
        </w:tc>
        <w:tc>
          <w:tcPr>
            <w:tcW w:w="1260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14:paraId="5C272A01" w14:textId="77777777" w:rsidR="00E91B20" w:rsidRPr="00E91B20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чеков</w:t>
            </w:r>
          </w:p>
        </w:tc>
        <w:tc>
          <w:tcPr>
            <w:tcW w:w="1701" w:type="dxa"/>
            <w:vMerge/>
          </w:tcPr>
          <w:p w14:paraId="65835A1A" w14:textId="77777777" w:rsidR="00B40BDD" w:rsidRPr="00D76A42" w:rsidRDefault="00B40BDD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B248D4E" w14:textId="77777777" w:rsidR="00B40BDD" w:rsidRPr="00E91B20" w:rsidRDefault="00B40BDD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6A42" w:rsidRPr="00861047" w14:paraId="530CA5DC" w14:textId="77777777" w:rsidTr="00CA20CF">
        <w:trPr>
          <w:jc w:val="center"/>
        </w:trPr>
        <w:tc>
          <w:tcPr>
            <w:tcW w:w="10204" w:type="dxa"/>
            <w:gridSpan w:val="6"/>
          </w:tcPr>
          <w:p w14:paraId="7A6A174C" w14:textId="77777777" w:rsidR="00D76A42" w:rsidRPr="00861047" w:rsidRDefault="00D76A42" w:rsidP="004E47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ОАО «АСБ Беларусбанк» филиал № 402</w:t>
            </w:r>
            <w:r w:rsidR="00BC50A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г. </w:t>
            </w:r>
            <w:r w:rsidRPr="00861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Волковыск</w:t>
            </w:r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 </w:t>
            </w:r>
            <w:r w:rsidRPr="00861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Советская, 20</w:t>
            </w:r>
          </w:p>
        </w:tc>
      </w:tr>
      <w:tr w:rsidR="00B40BDD" w:rsidRPr="00861047" w14:paraId="2A625E09" w14:textId="77777777" w:rsidTr="00CA20CF">
        <w:trPr>
          <w:jc w:val="center"/>
        </w:trPr>
        <w:tc>
          <w:tcPr>
            <w:tcW w:w="561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</w:tcPr>
          <w:p w14:paraId="2743CE74" w14:textId="77777777" w:rsidR="00B40BDD" w:rsidRPr="00861047" w:rsidRDefault="00D76A42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02" w:type="dxa"/>
            <w:shd w:val="clear" w:color="auto" w:fill="auto"/>
          </w:tcPr>
          <w:p w14:paraId="6F53F056" w14:textId="77777777" w:rsidR="00B40BDD" w:rsidRPr="00861047" w:rsidRDefault="00B40BDD" w:rsidP="0085008B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r w:rsidR="00BC5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008B">
              <w:rPr>
                <w:rFonts w:ascii="Times New Roman" w:hAnsi="Times New Roman" w:cs="Times New Roman"/>
                <w:sz w:val="26"/>
                <w:szCs w:val="26"/>
              </w:rPr>
              <w:t>«Аэлита Люкс»</w:t>
            </w:r>
          </w:p>
        </w:tc>
        <w:tc>
          <w:tcPr>
            <w:tcW w:w="937" w:type="dxa"/>
            <w:shd w:val="clear" w:color="auto" w:fill="auto"/>
          </w:tcPr>
          <w:p w14:paraId="0237F5ED" w14:textId="77777777"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7E2411E" w14:textId="77777777"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</w:tcPr>
          <w:p w14:paraId="7DE8E254" w14:textId="77777777"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hAnsi="Times New Roman" w:cs="Times New Roman"/>
                <w:sz w:val="26"/>
                <w:szCs w:val="26"/>
              </w:rPr>
              <w:t>130000</w:t>
            </w:r>
          </w:p>
        </w:tc>
        <w:tc>
          <w:tcPr>
            <w:tcW w:w="1843" w:type="dxa"/>
            <w:shd w:val="clear" w:color="auto" w:fill="auto"/>
          </w:tcPr>
          <w:p w14:paraId="6A3FBDD4" w14:textId="77777777" w:rsidR="00B40BDD" w:rsidRPr="00861047" w:rsidRDefault="008E135B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75507</w:t>
            </w:r>
          </w:p>
        </w:tc>
      </w:tr>
      <w:tr w:rsidR="00B40BDD" w:rsidRPr="00861047" w14:paraId="72CC98AE" w14:textId="77777777" w:rsidTr="00CA20CF">
        <w:trPr>
          <w:jc w:val="center"/>
        </w:trPr>
        <w:tc>
          <w:tcPr>
            <w:tcW w:w="561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</w:tcPr>
          <w:p w14:paraId="1ABE47F4" w14:textId="77777777" w:rsidR="00B40BDD" w:rsidRPr="00861047" w:rsidRDefault="00D76A42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02" w:type="dxa"/>
            <w:shd w:val="clear" w:color="auto" w:fill="auto"/>
          </w:tcPr>
          <w:p w14:paraId="10DB1676" w14:textId="77777777" w:rsidR="00B40BDD" w:rsidRPr="00861047" w:rsidRDefault="0085008B" w:rsidP="0085008B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="00B40BDD" w:rsidRPr="00861047">
              <w:rPr>
                <w:rFonts w:ascii="Times New Roman" w:hAnsi="Times New Roman" w:cs="Times New Roman"/>
                <w:sz w:val="26"/>
                <w:szCs w:val="26"/>
              </w:rPr>
              <w:t>ЖЭС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г.Волковыска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7" w:type="dxa"/>
            <w:shd w:val="clear" w:color="auto" w:fill="auto"/>
          </w:tcPr>
          <w:p w14:paraId="3FF976E6" w14:textId="77777777"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0531AB6" w14:textId="77777777"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</w:tcPr>
          <w:p w14:paraId="6F34AB0E" w14:textId="77777777"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hAnsi="Times New Roman" w:cs="Times New Roman"/>
                <w:sz w:val="26"/>
                <w:szCs w:val="26"/>
              </w:rPr>
              <w:t>37502</w:t>
            </w:r>
          </w:p>
        </w:tc>
        <w:tc>
          <w:tcPr>
            <w:tcW w:w="1843" w:type="dxa"/>
            <w:shd w:val="clear" w:color="auto" w:fill="auto"/>
          </w:tcPr>
          <w:p w14:paraId="52932A5A" w14:textId="77777777" w:rsidR="00B40BDD" w:rsidRPr="00861047" w:rsidRDefault="008E135B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22182</w:t>
            </w:r>
          </w:p>
        </w:tc>
      </w:tr>
      <w:tr w:rsidR="00B40BDD" w:rsidRPr="00861047" w14:paraId="336A5191" w14:textId="77777777" w:rsidTr="00CA20CF">
        <w:trPr>
          <w:jc w:val="center"/>
        </w:trPr>
        <w:tc>
          <w:tcPr>
            <w:tcW w:w="561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</w:tcPr>
          <w:p w14:paraId="2E0A512F" w14:textId="77777777" w:rsidR="00B40BDD" w:rsidRPr="00861047" w:rsidRDefault="00D76A42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02" w:type="dxa"/>
            <w:shd w:val="clear" w:color="auto" w:fill="auto"/>
          </w:tcPr>
          <w:p w14:paraId="5CD94938" w14:textId="77777777" w:rsidR="00B40BDD" w:rsidRPr="00861047" w:rsidRDefault="0085008B" w:rsidP="0085008B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r w:rsidR="00B40BDD" w:rsidRPr="00861047">
              <w:rPr>
                <w:rFonts w:ascii="Times New Roman" w:hAnsi="Times New Roman" w:cs="Times New Roman"/>
                <w:sz w:val="26"/>
                <w:szCs w:val="26"/>
              </w:rPr>
              <w:t xml:space="preserve">ТЦ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40BDD" w:rsidRPr="0086104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льтенбург»</w:t>
            </w:r>
          </w:p>
        </w:tc>
        <w:tc>
          <w:tcPr>
            <w:tcW w:w="937" w:type="dxa"/>
            <w:shd w:val="clear" w:color="auto" w:fill="auto"/>
          </w:tcPr>
          <w:p w14:paraId="16DADEAF" w14:textId="77777777"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59DA448" w14:textId="77777777"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</w:tcPr>
          <w:p w14:paraId="6BB44DA6" w14:textId="77777777"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hAnsi="Times New Roman" w:cs="Times New Roman"/>
                <w:sz w:val="26"/>
                <w:szCs w:val="26"/>
              </w:rPr>
              <w:t>82935</w:t>
            </w:r>
          </w:p>
        </w:tc>
        <w:tc>
          <w:tcPr>
            <w:tcW w:w="1843" w:type="dxa"/>
            <w:shd w:val="clear" w:color="auto" w:fill="auto"/>
          </w:tcPr>
          <w:p w14:paraId="7F13BDEE" w14:textId="77777777" w:rsidR="00B40BDD" w:rsidRPr="00861047" w:rsidRDefault="004E47EE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76782</w:t>
            </w:r>
          </w:p>
        </w:tc>
      </w:tr>
      <w:tr w:rsidR="00B40BDD" w:rsidRPr="00861047" w14:paraId="35D856A9" w14:textId="77777777" w:rsidTr="00CA20CF">
        <w:trPr>
          <w:jc w:val="center"/>
        </w:trPr>
        <w:tc>
          <w:tcPr>
            <w:tcW w:w="561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</w:tcPr>
          <w:p w14:paraId="10C7F621" w14:textId="77777777" w:rsidR="00B40BDD" w:rsidRPr="00861047" w:rsidRDefault="00D76A42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02" w:type="dxa"/>
            <w:shd w:val="clear" w:color="auto" w:fill="auto"/>
          </w:tcPr>
          <w:p w14:paraId="623A0A48" w14:textId="77777777" w:rsidR="00B40BDD" w:rsidRPr="00861047" w:rsidRDefault="0085008B" w:rsidP="0085008B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Мебельстроймаркет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7" w:type="dxa"/>
            <w:shd w:val="clear" w:color="auto" w:fill="auto"/>
          </w:tcPr>
          <w:p w14:paraId="67A95222" w14:textId="77777777"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5C0C45B" w14:textId="77777777"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</w:tcPr>
          <w:p w14:paraId="2F39C761" w14:textId="77777777" w:rsidR="00B40BDD" w:rsidRPr="00861047" w:rsidRDefault="00D76A42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hAnsi="Times New Roman" w:cs="Times New Roman"/>
                <w:sz w:val="26"/>
                <w:szCs w:val="26"/>
              </w:rPr>
              <w:t>21735</w:t>
            </w:r>
          </w:p>
        </w:tc>
        <w:tc>
          <w:tcPr>
            <w:tcW w:w="1843" w:type="dxa"/>
            <w:shd w:val="clear" w:color="auto" w:fill="auto"/>
          </w:tcPr>
          <w:p w14:paraId="56A2926D" w14:textId="77777777" w:rsidR="00B40BDD" w:rsidRPr="00861047" w:rsidRDefault="008E135B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1453</w:t>
            </w:r>
          </w:p>
        </w:tc>
      </w:tr>
    </w:tbl>
    <w:p w14:paraId="47815CEC" w14:textId="74A1BD22" w:rsidR="002B70B6" w:rsidRDefault="002B70B6" w:rsidP="00342052"/>
    <w:p w14:paraId="6C9E7967" w14:textId="28A0317F" w:rsidR="00556CCD" w:rsidRDefault="00556CCD" w:rsidP="00556CCD">
      <w:pPr>
        <w:keepNext/>
        <w:keepLines/>
        <w:ind w:left="20" w:right="20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556CCD">
        <w:rPr>
          <w:rFonts w:ascii="Times New Roman" w:hAnsi="Times New Roman" w:cs="Times New Roman"/>
          <w:b/>
          <w:bCs/>
          <w:sz w:val="28"/>
          <w:szCs w:val="28"/>
        </w:rPr>
        <w:t>Какие чеки «Имущество» можно использовать для обмена на акции открытых акционерных обществ?</w:t>
      </w:r>
      <w:bookmarkEnd w:id="0"/>
      <w:r w:rsidR="00A72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A4600D" w14:textId="31AF401D" w:rsidR="00556CCD" w:rsidRPr="00556CCD" w:rsidRDefault="00556CCD" w:rsidP="00556CCD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556CCD">
        <w:rPr>
          <w:sz w:val="28"/>
          <w:szCs w:val="28"/>
        </w:rPr>
        <w:t xml:space="preserve">В соответствии с действующим законодательством Республики Беларусь обмену на акции подлежат </w:t>
      </w:r>
      <w:r w:rsidRPr="00BA098F">
        <w:rPr>
          <w:sz w:val="28"/>
          <w:szCs w:val="28"/>
          <w:lang w:eastAsia="ru-RU"/>
        </w:rPr>
        <w:t>именные приватизационные чеки</w:t>
      </w:r>
      <w:r w:rsidRPr="00556CCD">
        <w:rPr>
          <w:sz w:val="28"/>
          <w:szCs w:val="28"/>
        </w:rPr>
        <w:t xml:space="preserve"> «Имущество»:</w:t>
      </w:r>
    </w:p>
    <w:p w14:paraId="3B05A179" w14:textId="5EB8D747" w:rsidR="00556CCD" w:rsidRPr="00556CCD" w:rsidRDefault="00556CCD" w:rsidP="00556CCD">
      <w:pPr>
        <w:pStyle w:val="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556CCD">
        <w:rPr>
          <w:sz w:val="28"/>
          <w:szCs w:val="28"/>
        </w:rPr>
        <w:t xml:space="preserve">начисленные покупателю в соответствии со статьей 7 Закона Республики Беларусь </w:t>
      </w:r>
      <w:r>
        <w:rPr>
          <w:sz w:val="28"/>
          <w:szCs w:val="28"/>
        </w:rPr>
        <w:t>«</w:t>
      </w:r>
      <w:r w:rsidRPr="00556CCD">
        <w:rPr>
          <w:sz w:val="28"/>
          <w:szCs w:val="28"/>
        </w:rPr>
        <w:t>Об именных приватизационных чеках Республики Беларусь</w:t>
      </w:r>
      <w:r>
        <w:rPr>
          <w:sz w:val="28"/>
          <w:szCs w:val="28"/>
        </w:rPr>
        <w:t>»</w:t>
      </w:r>
      <w:r w:rsidRPr="00556CCD">
        <w:rPr>
          <w:sz w:val="28"/>
          <w:szCs w:val="28"/>
        </w:rPr>
        <w:t xml:space="preserve"> (квота на имущество государственных предприятий) и полученные по наследству;</w:t>
      </w:r>
    </w:p>
    <w:p w14:paraId="6210751F" w14:textId="77777777" w:rsidR="00556CCD" w:rsidRPr="00556CCD" w:rsidRDefault="00556CCD" w:rsidP="00556CCD">
      <w:pPr>
        <w:pStyle w:val="4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556CCD">
        <w:rPr>
          <w:sz w:val="28"/>
          <w:szCs w:val="28"/>
        </w:rPr>
        <w:t xml:space="preserve">начисленные покупателю в качестве квоты на имущество государственных предприятий и использованные им в соответствии со статьей 11 Закона Республики Беларусь «Об именных приватизационных чеках Республики Беларусь», а затем </w:t>
      </w:r>
      <w:r w:rsidRPr="00556CCD">
        <w:rPr>
          <w:sz w:val="28"/>
          <w:szCs w:val="28"/>
        </w:rPr>
        <w:lastRenderedPageBreak/>
        <w:t>возвращенные в том же количестве на его специальный (чековый) счет по причине несостоявшихся сделок, расторжения договоров, ликвидации субъектов предпринимательской деятельности;</w:t>
      </w:r>
    </w:p>
    <w:p w14:paraId="2C6A221F" w14:textId="2C797F94" w:rsidR="00556CCD" w:rsidRPr="00556CCD" w:rsidRDefault="00556CCD" w:rsidP="00556CCD">
      <w:pPr>
        <w:pStyle w:val="4"/>
        <w:shd w:val="clear" w:color="auto" w:fill="auto"/>
        <w:spacing w:before="0" w:after="300"/>
        <w:ind w:left="20" w:right="20" w:firstLine="680"/>
        <w:rPr>
          <w:sz w:val="28"/>
          <w:szCs w:val="28"/>
        </w:rPr>
      </w:pPr>
      <w:r w:rsidRPr="00556CCD">
        <w:rPr>
          <w:sz w:val="28"/>
          <w:szCs w:val="28"/>
        </w:rPr>
        <w:t xml:space="preserve">переоформленные покупателю от близких родственников (родителей, детей, супругов, родных братьев и сестер, внуков, бабушек, дедушек, свекрови, свекра, тестя и тещи), которым они были начислены в качестве личной имущественной квоты, но в сумме не более 250 </w:t>
      </w:r>
      <w:r w:rsidRPr="00BA098F">
        <w:rPr>
          <w:sz w:val="28"/>
          <w:szCs w:val="28"/>
          <w:lang w:eastAsia="ru-RU"/>
        </w:rPr>
        <w:t>именные приватизационные чеки</w:t>
      </w:r>
      <w:r w:rsidRPr="00556CCD">
        <w:rPr>
          <w:sz w:val="28"/>
          <w:szCs w:val="28"/>
        </w:rPr>
        <w:t xml:space="preserve"> «Имущество» в течение всего периода безвозмездной приватизации. Обмен в этом случае производится по заявлению покупателя с указанием в нем, от кого получены </w:t>
      </w:r>
      <w:r w:rsidRPr="00BA098F">
        <w:rPr>
          <w:sz w:val="28"/>
          <w:szCs w:val="28"/>
          <w:lang w:eastAsia="ru-RU"/>
        </w:rPr>
        <w:t>именные приватизационные чеки</w:t>
      </w:r>
      <w:r w:rsidRPr="00556C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6CCD">
        <w:rPr>
          <w:sz w:val="28"/>
          <w:szCs w:val="28"/>
        </w:rPr>
        <w:t>Имущество</w:t>
      </w:r>
      <w:r>
        <w:rPr>
          <w:sz w:val="28"/>
          <w:szCs w:val="28"/>
        </w:rPr>
        <w:t>»</w:t>
      </w:r>
      <w:r w:rsidRPr="00556CCD">
        <w:rPr>
          <w:sz w:val="28"/>
          <w:szCs w:val="28"/>
        </w:rPr>
        <w:t xml:space="preserve">, без предоставления документов, подтверждающих родственные отношения. В случае сообщения покупателем в заявлении ложных сведений относительно </w:t>
      </w:r>
      <w:r w:rsidRPr="00BA098F">
        <w:rPr>
          <w:sz w:val="28"/>
          <w:szCs w:val="28"/>
          <w:lang w:eastAsia="ru-RU"/>
        </w:rPr>
        <w:t>именны</w:t>
      </w:r>
      <w:r>
        <w:rPr>
          <w:sz w:val="28"/>
          <w:szCs w:val="28"/>
          <w:lang w:eastAsia="ru-RU"/>
        </w:rPr>
        <w:t>х</w:t>
      </w:r>
      <w:r w:rsidRPr="00BA098F">
        <w:rPr>
          <w:sz w:val="28"/>
          <w:szCs w:val="28"/>
          <w:lang w:eastAsia="ru-RU"/>
        </w:rPr>
        <w:t xml:space="preserve"> приватизационны</w:t>
      </w:r>
      <w:r>
        <w:rPr>
          <w:sz w:val="28"/>
          <w:szCs w:val="28"/>
          <w:lang w:eastAsia="ru-RU"/>
        </w:rPr>
        <w:t>х</w:t>
      </w:r>
      <w:r w:rsidRPr="00BA098F">
        <w:rPr>
          <w:sz w:val="28"/>
          <w:szCs w:val="28"/>
          <w:lang w:eastAsia="ru-RU"/>
        </w:rPr>
        <w:t xml:space="preserve"> чек</w:t>
      </w:r>
      <w:r>
        <w:rPr>
          <w:sz w:val="28"/>
          <w:szCs w:val="28"/>
          <w:lang w:eastAsia="ru-RU"/>
        </w:rPr>
        <w:t>ов</w:t>
      </w:r>
      <w:r w:rsidRPr="00556CCD">
        <w:rPr>
          <w:sz w:val="28"/>
          <w:szCs w:val="28"/>
        </w:rPr>
        <w:t xml:space="preserve"> «Имущество», переоформленных от перечисленных выше родственников и использованных для обмена, заключенная сделка является ничтожной в соответствии с законодательством Республики Беларусь.</w:t>
      </w:r>
    </w:p>
    <w:p w14:paraId="06FE65C8" w14:textId="666069AF" w:rsidR="00556CCD" w:rsidRDefault="00556CCD" w:rsidP="00556CCD">
      <w:pPr>
        <w:pStyle w:val="4"/>
        <w:shd w:val="clear" w:color="auto" w:fill="auto"/>
        <w:spacing w:before="0"/>
        <w:ind w:left="23" w:right="23" w:firstLine="680"/>
        <w:jc w:val="center"/>
        <w:rPr>
          <w:rStyle w:val="a7"/>
          <w:sz w:val="28"/>
          <w:szCs w:val="28"/>
        </w:rPr>
      </w:pPr>
      <w:r w:rsidRPr="00556CCD">
        <w:rPr>
          <w:rStyle w:val="a7"/>
          <w:sz w:val="28"/>
          <w:szCs w:val="28"/>
        </w:rPr>
        <w:t>Как оформить дарение чеков?</w:t>
      </w:r>
    </w:p>
    <w:p w14:paraId="7EABBC66" w14:textId="07A27D63" w:rsidR="00556CCD" w:rsidRPr="00556CCD" w:rsidRDefault="00556CCD" w:rsidP="00556CCD">
      <w:pPr>
        <w:pStyle w:val="4"/>
        <w:shd w:val="clear" w:color="auto" w:fill="auto"/>
        <w:spacing w:before="0" w:after="300"/>
        <w:ind w:left="20" w:right="20" w:firstLine="680"/>
        <w:rPr>
          <w:sz w:val="28"/>
          <w:szCs w:val="28"/>
        </w:rPr>
      </w:pPr>
      <w:r w:rsidRPr="00556CCD">
        <w:rPr>
          <w:sz w:val="28"/>
          <w:szCs w:val="28"/>
        </w:rPr>
        <w:t xml:space="preserve">Для этого надо представить в отделение филиала АСБ «Беларусбанк», в котором открыт </w:t>
      </w:r>
      <w:proofErr w:type="spellStart"/>
      <w:r w:rsidRPr="00556CCD">
        <w:rPr>
          <w:sz w:val="28"/>
          <w:szCs w:val="28"/>
        </w:rPr>
        <w:t>спецчековый</w:t>
      </w:r>
      <w:proofErr w:type="spellEnd"/>
      <w:r w:rsidRPr="00556CCD">
        <w:rPr>
          <w:sz w:val="28"/>
          <w:szCs w:val="28"/>
        </w:rPr>
        <w:t xml:space="preserve"> счет дарителя, паспорт или другой документ, его заменяющий, сертификат </w:t>
      </w:r>
      <w:r w:rsidRPr="00BA098F">
        <w:rPr>
          <w:sz w:val="28"/>
          <w:szCs w:val="28"/>
          <w:lang w:eastAsia="ru-RU"/>
        </w:rPr>
        <w:t>именные приватизационные чеки</w:t>
      </w:r>
      <w:r w:rsidRPr="00556CCD">
        <w:rPr>
          <w:sz w:val="28"/>
          <w:szCs w:val="28"/>
        </w:rPr>
        <w:t xml:space="preserve"> «Имущество» и заявление. В заявлении указывается номер </w:t>
      </w:r>
      <w:proofErr w:type="spellStart"/>
      <w:r w:rsidRPr="00556CCD">
        <w:rPr>
          <w:sz w:val="28"/>
          <w:szCs w:val="28"/>
        </w:rPr>
        <w:t>спецчекового</w:t>
      </w:r>
      <w:proofErr w:type="spellEnd"/>
      <w:r w:rsidRPr="00556CCD">
        <w:rPr>
          <w:sz w:val="28"/>
          <w:szCs w:val="28"/>
        </w:rPr>
        <w:t xml:space="preserve"> счета того, кому чеки дарятся. За оформление дарения взимается госпошлина - 3 процента базовой величины.</w:t>
      </w:r>
    </w:p>
    <w:p w14:paraId="2DF7C18E" w14:textId="3D8C6DF6" w:rsidR="00A7218D" w:rsidRDefault="00556CCD" w:rsidP="00A7218D">
      <w:pPr>
        <w:pStyle w:val="4"/>
        <w:shd w:val="clear" w:color="auto" w:fill="auto"/>
        <w:spacing w:before="0"/>
        <w:ind w:left="23" w:right="23" w:firstLine="680"/>
        <w:jc w:val="center"/>
        <w:rPr>
          <w:rStyle w:val="a7"/>
          <w:sz w:val="28"/>
          <w:szCs w:val="28"/>
        </w:rPr>
      </w:pPr>
      <w:r w:rsidRPr="00556CCD">
        <w:rPr>
          <w:rStyle w:val="a7"/>
          <w:sz w:val="28"/>
          <w:szCs w:val="28"/>
        </w:rPr>
        <w:t xml:space="preserve">С утерей или пропажей сертификата теряют ли право на чеки их владельцы? </w:t>
      </w:r>
    </w:p>
    <w:p w14:paraId="1D679DA7" w14:textId="305452C3" w:rsidR="00556CCD" w:rsidRPr="00556CCD" w:rsidRDefault="00556CCD" w:rsidP="00A7218D">
      <w:pPr>
        <w:pStyle w:val="4"/>
        <w:shd w:val="clear" w:color="auto" w:fill="auto"/>
        <w:spacing w:before="0" w:after="300"/>
        <w:ind w:left="20" w:right="20" w:firstLine="680"/>
        <w:jc w:val="center"/>
        <w:rPr>
          <w:sz w:val="28"/>
          <w:szCs w:val="28"/>
        </w:rPr>
      </w:pPr>
      <w:r w:rsidRPr="00556CCD">
        <w:rPr>
          <w:sz w:val="28"/>
          <w:szCs w:val="28"/>
        </w:rPr>
        <w:t>Сертификат не является ценной бумагой, а лишь отражает наличие чеков на именном счете, которые никто кроме владельца счета не может снять. При утере или пропаже сертификата необходимо обратиться в отделение АСБ «Беларусбанк» по месту проживания, в котором выдадут дубликат сертификата.</w:t>
      </w:r>
    </w:p>
    <w:p w14:paraId="41129914" w14:textId="2D347384" w:rsidR="00556CCD" w:rsidRDefault="00556CCD" w:rsidP="00556CCD">
      <w:pPr>
        <w:pStyle w:val="4"/>
        <w:shd w:val="clear" w:color="auto" w:fill="auto"/>
        <w:spacing w:before="0"/>
        <w:ind w:left="23" w:right="23" w:firstLine="680"/>
        <w:jc w:val="center"/>
        <w:rPr>
          <w:rStyle w:val="a7"/>
          <w:sz w:val="28"/>
          <w:szCs w:val="28"/>
        </w:rPr>
      </w:pPr>
      <w:r w:rsidRPr="00556CCD">
        <w:rPr>
          <w:rStyle w:val="a7"/>
          <w:sz w:val="28"/>
          <w:szCs w:val="28"/>
        </w:rPr>
        <w:t xml:space="preserve">Каким образом воспользоваться чеками близких родственников, если нет своего </w:t>
      </w:r>
      <w:proofErr w:type="spellStart"/>
      <w:r w:rsidRPr="00556CCD">
        <w:rPr>
          <w:rStyle w:val="a7"/>
          <w:sz w:val="28"/>
          <w:szCs w:val="28"/>
        </w:rPr>
        <w:t>спецчекового</w:t>
      </w:r>
      <w:proofErr w:type="spellEnd"/>
      <w:r w:rsidRPr="00556CCD">
        <w:rPr>
          <w:rStyle w:val="a7"/>
          <w:sz w:val="28"/>
          <w:szCs w:val="28"/>
        </w:rPr>
        <w:t xml:space="preserve"> счета?</w:t>
      </w:r>
    </w:p>
    <w:p w14:paraId="2B17C83E" w14:textId="7FB0EA1F" w:rsidR="00556CCD" w:rsidRPr="00556CCD" w:rsidRDefault="00556CCD" w:rsidP="00556CCD">
      <w:pPr>
        <w:pStyle w:val="4"/>
        <w:shd w:val="clear" w:color="auto" w:fill="auto"/>
        <w:spacing w:before="0" w:after="296"/>
        <w:ind w:left="20" w:right="20" w:firstLine="680"/>
        <w:rPr>
          <w:sz w:val="28"/>
          <w:szCs w:val="28"/>
        </w:rPr>
      </w:pPr>
      <w:r w:rsidRPr="00556CCD">
        <w:rPr>
          <w:sz w:val="28"/>
          <w:szCs w:val="28"/>
        </w:rPr>
        <w:t xml:space="preserve">В отделении АСБ «Беларусбанк» по месту проживания можно открыть </w:t>
      </w:r>
      <w:proofErr w:type="spellStart"/>
      <w:r w:rsidRPr="00556CCD">
        <w:rPr>
          <w:sz w:val="28"/>
          <w:szCs w:val="28"/>
        </w:rPr>
        <w:t>спецчековый</w:t>
      </w:r>
      <w:proofErr w:type="spellEnd"/>
      <w:r w:rsidRPr="00556CCD">
        <w:rPr>
          <w:sz w:val="28"/>
          <w:szCs w:val="28"/>
        </w:rPr>
        <w:t xml:space="preserve"> счет с нулевым остатком. На указанный счет могут зачисляться подаренные чеки для последующего их использования.</w:t>
      </w:r>
    </w:p>
    <w:p w14:paraId="4A69AB52" w14:textId="5257418A" w:rsidR="00556CCD" w:rsidRDefault="00556CCD" w:rsidP="00556CCD">
      <w:pPr>
        <w:keepNext/>
        <w:keepLines/>
        <w:spacing w:line="326" w:lineRule="exact"/>
        <w:ind w:left="20" w:right="20"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  <w:r w:rsidRPr="00556CCD">
        <w:rPr>
          <w:rFonts w:ascii="Times New Roman" w:hAnsi="Times New Roman" w:cs="Times New Roman"/>
          <w:b/>
          <w:bCs/>
          <w:sz w:val="28"/>
          <w:szCs w:val="28"/>
        </w:rPr>
        <w:t>Можно ли вернуть чеки «Имущество», обмененные на акции акционерного общества?</w:t>
      </w:r>
      <w:bookmarkEnd w:id="1"/>
    </w:p>
    <w:p w14:paraId="52DE367D" w14:textId="77777777" w:rsidR="00556CCD" w:rsidRPr="00556CCD" w:rsidRDefault="00556CCD" w:rsidP="00556CCD">
      <w:pPr>
        <w:pStyle w:val="4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556CCD">
        <w:rPr>
          <w:sz w:val="28"/>
          <w:szCs w:val="28"/>
        </w:rPr>
        <w:t>При обмене чеков «Имущество» на акции акционерного общества с гражданином заключается договор, в соответствии с которым Продавец (государство), с одной стороны, обязуется передать Покупателю (гражданину) акции, а Покупатель, с другой стороны, - оплатить эти акции чеками «Имущество».</w:t>
      </w:r>
    </w:p>
    <w:p w14:paraId="31DD411D" w14:textId="77777777" w:rsidR="00556CCD" w:rsidRPr="00556CCD" w:rsidRDefault="00556CCD" w:rsidP="00556CCD">
      <w:pPr>
        <w:pStyle w:val="4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556CCD">
        <w:rPr>
          <w:sz w:val="28"/>
          <w:szCs w:val="28"/>
        </w:rPr>
        <w:t>После зачисления акций, приобретенных по такому договору, на счет «депо» Покупателя договор считается исполненным и стороны никаких обязательств друг перед другом не несут.</w:t>
      </w:r>
    </w:p>
    <w:p w14:paraId="1017B800" w14:textId="77777777" w:rsidR="00556CCD" w:rsidRPr="00556CCD" w:rsidRDefault="00556CCD" w:rsidP="00556CCD">
      <w:pPr>
        <w:pStyle w:val="4"/>
        <w:shd w:val="clear" w:color="auto" w:fill="auto"/>
        <w:spacing w:before="0" w:after="300"/>
        <w:ind w:left="20" w:right="20" w:firstLine="640"/>
        <w:rPr>
          <w:sz w:val="28"/>
          <w:szCs w:val="28"/>
        </w:rPr>
      </w:pPr>
      <w:r w:rsidRPr="00556CCD">
        <w:rPr>
          <w:sz w:val="28"/>
          <w:szCs w:val="28"/>
        </w:rPr>
        <w:t>Чеки «Имущество», поступившие на счет Продавца в оплату за акции, считаются использованными в соответствии с действующим законодательством по назначению, выводятся из обращения и возврату не подлежат.</w:t>
      </w:r>
    </w:p>
    <w:p w14:paraId="78FA8FE5" w14:textId="7F9045A5" w:rsidR="00556CCD" w:rsidRDefault="00556CCD" w:rsidP="00556CCD">
      <w:pPr>
        <w:keepNext/>
        <w:keepLines/>
        <w:ind w:left="20"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 w:rsidRPr="00556C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Будет ли денежная компенсация за неиспользованные чеки «Имущество?</w:t>
      </w:r>
      <w:bookmarkEnd w:id="2"/>
    </w:p>
    <w:p w14:paraId="3F6F315D" w14:textId="6494A11C" w:rsidR="00556CCD" w:rsidRPr="00556CCD" w:rsidRDefault="00556CCD" w:rsidP="00556CCD">
      <w:pPr>
        <w:pStyle w:val="4"/>
        <w:shd w:val="clear" w:color="auto" w:fill="auto"/>
        <w:spacing w:before="0" w:after="349"/>
        <w:ind w:left="20" w:right="20" w:firstLine="640"/>
        <w:rPr>
          <w:sz w:val="28"/>
          <w:szCs w:val="28"/>
        </w:rPr>
      </w:pPr>
      <w:r w:rsidRPr="00556CCD">
        <w:rPr>
          <w:sz w:val="28"/>
          <w:szCs w:val="28"/>
        </w:rPr>
        <w:t xml:space="preserve">Законом Республики Беларусь «Об именных приватизационных чеках Республики Беларусь» предусмотрено, что по истечении срока обращения приватизационных чеков не использованные владельцами чеки могут быть предъявлены для погашения по месту выдачи. Срок и порядок выплаты компенсации за не использованные приватизационные чеки и их стоимость устанавливаются Советом Министров Республики Беларусь по согласованию с Президентом Республики Беларусь. Компенсации будут подлежать только лично начисленные </w:t>
      </w:r>
      <w:r w:rsidRPr="00BA098F">
        <w:rPr>
          <w:sz w:val="28"/>
          <w:szCs w:val="28"/>
          <w:lang w:eastAsia="ru-RU"/>
        </w:rPr>
        <w:t>именные приватизационные чеки</w:t>
      </w:r>
      <w:r w:rsidRPr="00556CCD">
        <w:rPr>
          <w:sz w:val="28"/>
          <w:szCs w:val="28"/>
        </w:rPr>
        <w:t xml:space="preserve"> «Имущество».</w:t>
      </w:r>
    </w:p>
    <w:p w14:paraId="27C5894A" w14:textId="36EDA3F3" w:rsidR="00556CCD" w:rsidRDefault="00556CCD" w:rsidP="00556CCD">
      <w:pPr>
        <w:keepNext/>
        <w:keepLines/>
        <w:spacing w:line="260" w:lineRule="exact"/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3"/>
      <w:r w:rsidRPr="00556CCD">
        <w:rPr>
          <w:rFonts w:ascii="Times New Roman" w:hAnsi="Times New Roman" w:cs="Times New Roman"/>
          <w:b/>
          <w:bCs/>
          <w:sz w:val="28"/>
          <w:szCs w:val="28"/>
        </w:rPr>
        <w:t>Какая в настоящее время стоимость одного чека «Имущество»?</w:t>
      </w:r>
      <w:bookmarkEnd w:id="3"/>
    </w:p>
    <w:p w14:paraId="6030A0D1" w14:textId="6C8610DC" w:rsidR="00556CCD" w:rsidRPr="00556CCD" w:rsidRDefault="00556CCD" w:rsidP="00556CCD">
      <w:pPr>
        <w:pStyle w:val="4"/>
        <w:shd w:val="clear" w:color="auto" w:fill="auto"/>
        <w:spacing w:before="0" w:after="300"/>
        <w:ind w:left="20" w:right="20" w:firstLine="640"/>
        <w:rPr>
          <w:sz w:val="28"/>
          <w:szCs w:val="28"/>
        </w:rPr>
      </w:pPr>
      <w:r w:rsidRPr="00556CCD">
        <w:rPr>
          <w:sz w:val="28"/>
          <w:szCs w:val="28"/>
        </w:rPr>
        <w:t xml:space="preserve">Постановлением Совета Министров Республики Беларусь от 6 июля 2005 г. № 756 с 1 января 2005 г. установлена номинальная стоимость одного неиспользованного </w:t>
      </w:r>
      <w:r w:rsidRPr="00BA098F">
        <w:rPr>
          <w:sz w:val="28"/>
          <w:szCs w:val="28"/>
          <w:lang w:eastAsia="ru-RU"/>
        </w:rPr>
        <w:t>именн</w:t>
      </w:r>
      <w:r w:rsidR="008D4AB8">
        <w:rPr>
          <w:sz w:val="28"/>
          <w:szCs w:val="28"/>
          <w:lang w:eastAsia="ru-RU"/>
        </w:rPr>
        <w:t>ого</w:t>
      </w:r>
      <w:r w:rsidRPr="00BA098F">
        <w:rPr>
          <w:sz w:val="28"/>
          <w:szCs w:val="28"/>
          <w:lang w:eastAsia="ru-RU"/>
        </w:rPr>
        <w:t xml:space="preserve"> приватизационн</w:t>
      </w:r>
      <w:r w:rsidR="008D4AB8">
        <w:rPr>
          <w:sz w:val="28"/>
          <w:szCs w:val="28"/>
          <w:lang w:eastAsia="ru-RU"/>
        </w:rPr>
        <w:t>ого</w:t>
      </w:r>
      <w:r w:rsidRPr="00BA098F">
        <w:rPr>
          <w:sz w:val="28"/>
          <w:szCs w:val="28"/>
          <w:lang w:eastAsia="ru-RU"/>
        </w:rPr>
        <w:t xml:space="preserve"> чек</w:t>
      </w:r>
      <w:r w:rsidR="008D4AB8">
        <w:rPr>
          <w:sz w:val="28"/>
          <w:szCs w:val="28"/>
          <w:lang w:eastAsia="ru-RU"/>
        </w:rPr>
        <w:t>а</w:t>
      </w:r>
      <w:r w:rsidRPr="00556CCD">
        <w:rPr>
          <w:sz w:val="28"/>
          <w:szCs w:val="28"/>
        </w:rPr>
        <w:t xml:space="preserve"> «Имущество» в размере 44 копейки (с учетом деноминации).</w:t>
      </w:r>
    </w:p>
    <w:p w14:paraId="44964FF6" w14:textId="78C4B90B" w:rsidR="00556CCD" w:rsidRDefault="00556CCD" w:rsidP="008D4AB8">
      <w:pPr>
        <w:keepNext/>
        <w:keepLines/>
        <w:ind w:left="20"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4"/>
      <w:r w:rsidRPr="008D4AB8">
        <w:rPr>
          <w:rFonts w:ascii="Times New Roman" w:hAnsi="Times New Roman" w:cs="Times New Roman"/>
          <w:b/>
          <w:bCs/>
          <w:sz w:val="28"/>
          <w:szCs w:val="28"/>
        </w:rPr>
        <w:t>Можно ли использовать чеки «Имущество» для приватизации жилых помещений?</w:t>
      </w:r>
      <w:bookmarkEnd w:id="4"/>
    </w:p>
    <w:p w14:paraId="558668A2" w14:textId="69F2849D" w:rsidR="00556CCD" w:rsidRPr="00556CCD" w:rsidRDefault="00556CCD" w:rsidP="00556CCD">
      <w:pPr>
        <w:pStyle w:val="4"/>
        <w:shd w:val="clear" w:color="auto" w:fill="auto"/>
        <w:spacing w:before="0" w:after="300"/>
        <w:ind w:left="20" w:right="20" w:firstLine="640"/>
        <w:rPr>
          <w:sz w:val="28"/>
          <w:szCs w:val="28"/>
        </w:rPr>
      </w:pPr>
      <w:r w:rsidRPr="00556CCD">
        <w:rPr>
          <w:sz w:val="28"/>
          <w:szCs w:val="28"/>
        </w:rPr>
        <w:t>В соответствии с Декретом Президента Республики Беларусь от 7 июня 2007 г. №</w:t>
      </w:r>
      <w:r w:rsidR="008D4AB8">
        <w:rPr>
          <w:sz w:val="28"/>
          <w:szCs w:val="28"/>
        </w:rPr>
        <w:t> </w:t>
      </w:r>
      <w:r w:rsidRPr="00556CCD">
        <w:rPr>
          <w:sz w:val="28"/>
          <w:szCs w:val="28"/>
        </w:rPr>
        <w:t>6 «Об упорядочении обращения и использования именных приватизационных чеков «Жилье» выдача чеков «Жилье» прекращена с 1 января 2007 года, в связи с этим переоформление чеков «Имущество» в чеки «Жилье» невозможно.</w:t>
      </w:r>
    </w:p>
    <w:p w14:paraId="2068E7A5" w14:textId="77777777" w:rsidR="00556CCD" w:rsidRPr="008D4AB8" w:rsidRDefault="00556CCD" w:rsidP="008D4AB8">
      <w:pPr>
        <w:keepNext/>
        <w:keepLines/>
        <w:ind w:left="20"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5"/>
      <w:r w:rsidRPr="008D4AB8">
        <w:rPr>
          <w:rFonts w:ascii="Times New Roman" w:hAnsi="Times New Roman" w:cs="Times New Roman"/>
          <w:b/>
          <w:bCs/>
          <w:sz w:val="28"/>
          <w:szCs w:val="28"/>
        </w:rPr>
        <w:t>От каких факторов зависит начисление дивидендов открытым акционерным обществом, какой порядок их выплаты, кто имеет право на получение дивидендов?</w:t>
      </w:r>
      <w:bookmarkEnd w:id="5"/>
    </w:p>
    <w:p w14:paraId="738B61C8" w14:textId="77777777" w:rsidR="00556CCD" w:rsidRPr="00556CCD" w:rsidRDefault="00556CCD" w:rsidP="00556CCD">
      <w:pPr>
        <w:pStyle w:val="4"/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556CCD">
        <w:rPr>
          <w:sz w:val="28"/>
          <w:szCs w:val="28"/>
        </w:rPr>
        <w:t>Приобретая акции, гражданин становится акционером и в соответствии с законодательством имеет право участвовать в управлении обществом, получать информацию о деятельности предприятия, а также продавать, дарить и наследовать акции.</w:t>
      </w:r>
    </w:p>
    <w:p w14:paraId="45332261" w14:textId="77777777" w:rsidR="00556CCD" w:rsidRPr="00556CCD" w:rsidRDefault="00556CCD" w:rsidP="00556CCD">
      <w:pPr>
        <w:pStyle w:val="4"/>
        <w:shd w:val="clear" w:color="auto" w:fill="auto"/>
        <w:spacing w:before="0"/>
        <w:ind w:left="20" w:right="20" w:firstLine="640"/>
        <w:rPr>
          <w:sz w:val="28"/>
          <w:szCs w:val="28"/>
        </w:rPr>
      </w:pPr>
      <w:r w:rsidRPr="00556CCD">
        <w:rPr>
          <w:sz w:val="28"/>
          <w:szCs w:val="28"/>
        </w:rPr>
        <w:t>Акционер может участвовать в собраниях акционеров и высказывать свою позицию по выносимым на обсуждение собрания вопросам, в том числе и по распределению прибыли и выплате дивидендов.</w:t>
      </w:r>
    </w:p>
    <w:p w14:paraId="55BAAC4B" w14:textId="77777777" w:rsidR="00556CCD" w:rsidRPr="00556CCD" w:rsidRDefault="00556CCD" w:rsidP="00556CCD">
      <w:pPr>
        <w:pStyle w:val="4"/>
        <w:shd w:val="clear" w:color="auto" w:fill="auto"/>
        <w:spacing w:before="0" w:after="300"/>
        <w:ind w:left="20" w:right="20" w:firstLine="640"/>
        <w:rPr>
          <w:sz w:val="28"/>
          <w:szCs w:val="28"/>
        </w:rPr>
      </w:pPr>
      <w:r w:rsidRPr="00556CCD">
        <w:rPr>
          <w:sz w:val="28"/>
          <w:szCs w:val="28"/>
        </w:rPr>
        <w:t>Дивидендом является часть чистой прибыли, распределяющейся среди акционеров по количеству пр</w:t>
      </w:r>
      <w:r w:rsidRPr="008D4AB8">
        <w:rPr>
          <w:sz w:val="28"/>
          <w:szCs w:val="28"/>
        </w:rPr>
        <w:t>иход</w:t>
      </w:r>
      <w:r w:rsidRPr="008D4AB8">
        <w:rPr>
          <w:rStyle w:val="3"/>
          <w:sz w:val="28"/>
          <w:szCs w:val="28"/>
          <w:u w:val="none"/>
        </w:rPr>
        <w:t>ящи</w:t>
      </w:r>
      <w:r w:rsidRPr="008D4AB8">
        <w:rPr>
          <w:sz w:val="28"/>
          <w:szCs w:val="28"/>
        </w:rPr>
        <w:t>х</w:t>
      </w:r>
      <w:r w:rsidRPr="00556CCD">
        <w:rPr>
          <w:sz w:val="28"/>
          <w:szCs w:val="28"/>
        </w:rPr>
        <w:t>ся на их долю акций. Решение о начислении дивидендов принимается общим собранием акционеров при наличии прибыли, оставшейся в его распоряжении после уплаты налогов и иных обязательных платежей и покрытия убытков текущих периодов. Право на получение дивидендов является одним из безусловных прав акционеров и характеризуется как право на участие в распределении прибыли общества. Список акционеров, имеющих право на получение дивидендов, составляется на основании данных того же реестра владельцев акций, на основании которого был составлен список лиц, имеющих право на участие в общем собрании акционеров, принявшем решение о выплате соответствующих дивидендов. Дивиденды могут выплачиваться как по итогам года (годовые), так и промежуточные (за первый квартал, полугодовые, за девять месяцев).</w:t>
      </w:r>
    </w:p>
    <w:p w14:paraId="757096E7" w14:textId="77777777" w:rsidR="00556CCD" w:rsidRPr="008D4AB8" w:rsidRDefault="00556CCD" w:rsidP="008D4AB8">
      <w:pPr>
        <w:keepNext/>
        <w:keepLines/>
        <w:ind w:left="20"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6"/>
      <w:r w:rsidRPr="008D4AB8">
        <w:rPr>
          <w:rFonts w:ascii="Times New Roman" w:hAnsi="Times New Roman" w:cs="Times New Roman"/>
          <w:b/>
          <w:bCs/>
          <w:sz w:val="28"/>
          <w:szCs w:val="28"/>
        </w:rPr>
        <w:t>Можно ли продать акции?</w:t>
      </w:r>
      <w:bookmarkEnd w:id="6"/>
    </w:p>
    <w:p w14:paraId="7B5A1E11" w14:textId="77777777" w:rsidR="00556CCD" w:rsidRPr="00556CCD" w:rsidRDefault="00556CCD" w:rsidP="00556CCD">
      <w:pPr>
        <w:pStyle w:val="4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556CCD">
        <w:rPr>
          <w:sz w:val="28"/>
          <w:szCs w:val="28"/>
        </w:rPr>
        <w:t xml:space="preserve">Граждане вправе по собственному усмотрению распоряжаться принадлежащими им акциями. Акции можно продавать, дарить и завещать. Продажа акций открытых </w:t>
      </w:r>
      <w:r w:rsidRPr="00556CCD">
        <w:rPr>
          <w:sz w:val="28"/>
          <w:szCs w:val="28"/>
        </w:rPr>
        <w:lastRenderedPageBreak/>
        <w:t>акционерных обществ осуществляется только на организованном (биржевом) рынке, за исключением случаев отчуждения акций государству или самому акционерному обществу. Продажу акций на бирже от имени владельца осуществляют специальные организации - профессиональные участники рынка ценных бумаг (брокеры). С перечнем таких организаций можно ознакомиться на сайте Министерства финансов Республики Беларусь либо на сайте ОАО «Белорусская валютно-фондовая биржа» по ссылке</w:t>
      </w:r>
      <w:hyperlink r:id="rId4" w:history="1">
        <w:r w:rsidRPr="00556CCD">
          <w:rPr>
            <w:rStyle w:val="a5"/>
            <w:sz w:val="28"/>
            <w:szCs w:val="28"/>
          </w:rPr>
          <w:t xml:space="preserve"> Списки</w:t>
        </w:r>
      </w:hyperlink>
      <w:r w:rsidRPr="00556CCD">
        <w:rPr>
          <w:rStyle w:val="2"/>
          <w:sz w:val="28"/>
          <w:szCs w:val="28"/>
          <w:lang w:val="ru-RU" w:eastAsia="ru-RU" w:bidi="ru-RU"/>
        </w:rPr>
        <w:t xml:space="preserve"> </w:t>
      </w:r>
      <w:hyperlink r:id="rId5" w:history="1">
        <w:r w:rsidRPr="00556CCD">
          <w:rPr>
            <w:rStyle w:val="a5"/>
            <w:sz w:val="28"/>
            <w:szCs w:val="28"/>
          </w:rPr>
          <w:t>профучастников.</w:t>
        </w:r>
      </w:hyperlink>
    </w:p>
    <w:p w14:paraId="4B405FA5" w14:textId="77777777" w:rsidR="00556CCD" w:rsidRPr="00556CCD" w:rsidRDefault="00556CCD" w:rsidP="00556CCD">
      <w:pPr>
        <w:pStyle w:val="4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556CCD">
        <w:rPr>
          <w:sz w:val="28"/>
          <w:szCs w:val="28"/>
        </w:rPr>
        <w:t>Законодательство устанавливает некоторые ограничения при совершении сделок с акциями. Так, гражданин вправе подарить акции только близким родственникам. Акции отдельных акционерных обществ, приобретенные гражданином у государства, в том числе в обмен на чеки «Имущество», либо акции обществ, осуществляющих переработку сельскохозяйственной продукции, могут отчуждаться только с учетом преимущественного права облисполкомов на их приобретение.</w:t>
      </w:r>
    </w:p>
    <w:p w14:paraId="0A7E6F3E" w14:textId="1552A6B8" w:rsidR="00556CCD" w:rsidRPr="00556CCD" w:rsidRDefault="00556CCD" w:rsidP="008D4AB8">
      <w:pPr>
        <w:pStyle w:val="4"/>
        <w:shd w:val="clear" w:color="auto" w:fill="auto"/>
        <w:tabs>
          <w:tab w:val="left" w:pos="2914"/>
          <w:tab w:val="center" w:pos="6308"/>
          <w:tab w:val="right" w:pos="9874"/>
        </w:tabs>
        <w:spacing w:before="0"/>
        <w:ind w:left="20" w:right="20" w:firstLine="680"/>
        <w:rPr>
          <w:sz w:val="28"/>
          <w:szCs w:val="28"/>
        </w:rPr>
      </w:pPr>
      <w:r w:rsidRPr="00556CCD">
        <w:rPr>
          <w:sz w:val="28"/>
          <w:szCs w:val="28"/>
        </w:rPr>
        <w:t>С перечнем таких обществ, расположенных на территории Гродненской области, в отношении которых Гродненский облисполком имеет преимущественное право можно ознакомиться на сайте Гродненского облисполкома (</w:t>
      </w:r>
      <w:r w:rsidRPr="008D4AB8">
        <w:rPr>
          <w:sz w:val="28"/>
          <w:szCs w:val="28"/>
        </w:rPr>
        <w:t>сайт</w:t>
      </w:r>
      <w:r w:rsidRPr="008D4AB8">
        <w:rPr>
          <w:sz w:val="28"/>
          <w:szCs w:val="28"/>
        </w:rPr>
        <w:tab/>
      </w:r>
      <w:hyperlink w:history="1">
        <w:r w:rsidR="008D4AB8" w:rsidRPr="008D4AB8">
          <w:rPr>
            <w:rStyle w:val="a5"/>
            <w:color w:val="auto"/>
            <w:sz w:val="28"/>
            <w:szCs w:val="28"/>
            <w:lang w:val="en-US" w:bidi="en-US"/>
          </w:rPr>
          <w:t>www</w:t>
        </w:r>
        <w:r w:rsidR="008D4AB8" w:rsidRPr="008D4AB8">
          <w:rPr>
            <w:rStyle w:val="a5"/>
            <w:color w:val="auto"/>
            <w:sz w:val="28"/>
            <w:szCs w:val="28"/>
            <w:lang w:bidi="en-US"/>
          </w:rPr>
          <w:t>.</w:t>
        </w:r>
        <w:proofErr w:type="spellStart"/>
        <w:r w:rsidR="008D4AB8" w:rsidRPr="008D4AB8">
          <w:rPr>
            <w:rStyle w:val="a5"/>
            <w:color w:val="auto"/>
            <w:sz w:val="28"/>
            <w:szCs w:val="28"/>
            <w:lang w:val="en-US" w:bidi="en-US"/>
          </w:rPr>
          <w:t>grodno</w:t>
        </w:r>
        <w:proofErr w:type="spellEnd"/>
        <w:r w:rsidR="008D4AB8" w:rsidRPr="008D4AB8">
          <w:rPr>
            <w:rStyle w:val="a5"/>
            <w:color w:val="auto"/>
            <w:sz w:val="28"/>
            <w:szCs w:val="28"/>
            <w:lang w:bidi="en-US"/>
          </w:rPr>
          <w:t>-</w:t>
        </w:r>
        <w:r w:rsidR="008D4AB8" w:rsidRPr="008D4AB8">
          <w:rPr>
            <w:rStyle w:val="a5"/>
            <w:color w:val="auto"/>
            <w:sz w:val="28"/>
            <w:szCs w:val="28"/>
            <w:lang w:val="en-US" w:bidi="en-US"/>
          </w:rPr>
          <w:t>region</w:t>
        </w:r>
        <w:r w:rsidR="008D4AB8" w:rsidRPr="008D4AB8">
          <w:rPr>
            <w:rStyle w:val="a5"/>
            <w:color w:val="auto"/>
            <w:sz w:val="28"/>
            <w:szCs w:val="28"/>
            <w:lang w:bidi="en-US"/>
          </w:rPr>
          <w:t>.</w:t>
        </w:r>
        <w:r w:rsidR="008D4AB8" w:rsidRPr="008D4AB8">
          <w:rPr>
            <w:rStyle w:val="a5"/>
            <w:color w:val="auto"/>
            <w:sz w:val="28"/>
            <w:szCs w:val="28"/>
            <w:lang w:val="en-US" w:bidi="en-US"/>
          </w:rPr>
          <w:t>gov</w:t>
        </w:r>
        <w:r w:rsidR="008D4AB8" w:rsidRPr="008D4AB8">
          <w:rPr>
            <w:rStyle w:val="a5"/>
            <w:color w:val="auto"/>
            <w:sz w:val="28"/>
            <w:szCs w:val="28"/>
            <w:lang w:bidi="en-US"/>
          </w:rPr>
          <w:t>.</w:t>
        </w:r>
        <w:r w:rsidR="008D4AB8" w:rsidRPr="008D4AB8">
          <w:rPr>
            <w:rStyle w:val="a5"/>
            <w:color w:val="auto"/>
            <w:sz w:val="28"/>
            <w:szCs w:val="28"/>
            <w:lang w:val="en-US" w:bidi="en-US"/>
          </w:rPr>
          <w:t>by</w:t>
        </w:r>
        <w:r w:rsidR="008D4AB8" w:rsidRPr="008D4AB8">
          <w:rPr>
            <w:rStyle w:val="a5"/>
            <w:color w:val="auto"/>
            <w:sz w:val="28"/>
            <w:szCs w:val="28"/>
            <w:lang w:bidi="en-US"/>
          </w:rPr>
          <w:t xml:space="preserve">, </w:t>
        </w:r>
        <w:r w:rsidR="008D4AB8" w:rsidRPr="008D4AB8">
          <w:rPr>
            <w:rStyle w:val="a5"/>
            <w:color w:val="auto"/>
            <w:sz w:val="28"/>
            <w:szCs w:val="28"/>
          </w:rPr>
          <w:t>раздел</w:t>
        </w:r>
      </w:hyperlink>
      <w:r w:rsidR="008D4AB8" w:rsidRPr="008D4AB8">
        <w:rPr>
          <w:sz w:val="28"/>
          <w:szCs w:val="28"/>
        </w:rPr>
        <w:t xml:space="preserve"> </w:t>
      </w:r>
      <w:hyperlink r:id="rId6" w:history="1">
        <w:r w:rsidRPr="008D4AB8">
          <w:rPr>
            <w:rStyle w:val="a5"/>
            <w:color w:val="auto"/>
            <w:sz w:val="28"/>
            <w:szCs w:val="28"/>
          </w:rPr>
          <w:t>«</w:t>
        </w:r>
        <w:proofErr w:type="spellStart"/>
        <w:r w:rsidRPr="008D4AB8">
          <w:rPr>
            <w:rStyle w:val="a5"/>
            <w:color w:val="auto"/>
            <w:sz w:val="28"/>
            <w:szCs w:val="28"/>
          </w:rPr>
          <w:t>Облимущество</w:t>
        </w:r>
        <w:proofErr w:type="spellEnd"/>
        <w:r w:rsidRPr="008D4AB8">
          <w:rPr>
            <w:rStyle w:val="a5"/>
            <w:color w:val="auto"/>
            <w:sz w:val="28"/>
            <w:szCs w:val="28"/>
          </w:rPr>
          <w:t>»/«</w:t>
        </w:r>
      </w:hyperlink>
      <w:r w:rsidRPr="008D4AB8">
        <w:rPr>
          <w:sz w:val="28"/>
          <w:szCs w:val="28"/>
        </w:rPr>
        <w:t xml:space="preserve">Преимущественное право облисполкома на приобретение </w:t>
      </w:r>
      <w:r w:rsidRPr="00556CCD">
        <w:rPr>
          <w:sz w:val="28"/>
          <w:szCs w:val="28"/>
        </w:rPr>
        <w:t>акций»).</w:t>
      </w:r>
    </w:p>
    <w:sectPr w:rsidR="00556CCD" w:rsidRPr="00556CCD" w:rsidSect="00CA20CF">
      <w:pgSz w:w="11906" w:h="16838"/>
      <w:pgMar w:top="709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B6"/>
    <w:rsid w:val="00086B85"/>
    <w:rsid w:val="00176B1E"/>
    <w:rsid w:val="001C0679"/>
    <w:rsid w:val="00225E9A"/>
    <w:rsid w:val="00245175"/>
    <w:rsid w:val="00246A0F"/>
    <w:rsid w:val="00271C69"/>
    <w:rsid w:val="002B70B6"/>
    <w:rsid w:val="002F37F1"/>
    <w:rsid w:val="00342052"/>
    <w:rsid w:val="003638C2"/>
    <w:rsid w:val="003A5AA9"/>
    <w:rsid w:val="003D03F1"/>
    <w:rsid w:val="00491E1D"/>
    <w:rsid w:val="004B4A39"/>
    <w:rsid w:val="004E47EE"/>
    <w:rsid w:val="005003AE"/>
    <w:rsid w:val="00516F19"/>
    <w:rsid w:val="00556CCD"/>
    <w:rsid w:val="00635453"/>
    <w:rsid w:val="00647EF4"/>
    <w:rsid w:val="00665035"/>
    <w:rsid w:val="006B2080"/>
    <w:rsid w:val="0078459C"/>
    <w:rsid w:val="007B4C73"/>
    <w:rsid w:val="007D3EA9"/>
    <w:rsid w:val="0085008B"/>
    <w:rsid w:val="00861047"/>
    <w:rsid w:val="008D034F"/>
    <w:rsid w:val="008D4AB8"/>
    <w:rsid w:val="008E135B"/>
    <w:rsid w:val="00962F48"/>
    <w:rsid w:val="009C5750"/>
    <w:rsid w:val="00A7218D"/>
    <w:rsid w:val="00AB7098"/>
    <w:rsid w:val="00B40BDD"/>
    <w:rsid w:val="00BA098F"/>
    <w:rsid w:val="00BB7C8A"/>
    <w:rsid w:val="00BC50A2"/>
    <w:rsid w:val="00C13CB4"/>
    <w:rsid w:val="00C429DF"/>
    <w:rsid w:val="00CA20CF"/>
    <w:rsid w:val="00D76A42"/>
    <w:rsid w:val="00DA16EA"/>
    <w:rsid w:val="00E91B20"/>
    <w:rsid w:val="00F5082C"/>
    <w:rsid w:val="00F962BB"/>
    <w:rsid w:val="00FB4038"/>
    <w:rsid w:val="00FE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09DD"/>
  <w15:docId w15:val="{2289C2B5-D57C-4F22-9675-C871744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C69"/>
  </w:style>
  <w:style w:type="paragraph" w:styleId="1">
    <w:name w:val="heading 1"/>
    <w:basedOn w:val="a"/>
    <w:link w:val="10"/>
    <w:uiPriority w:val="9"/>
    <w:qFormat/>
    <w:rsid w:val="00BA098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09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B20"/>
    <w:rPr>
      <w:b/>
      <w:bCs/>
    </w:rPr>
  </w:style>
  <w:style w:type="character" w:customStyle="1" w:styleId="apple-converted-space">
    <w:name w:val="apple-converted-space"/>
    <w:basedOn w:val="a0"/>
    <w:rsid w:val="00E91B20"/>
  </w:style>
  <w:style w:type="character" w:styleId="a5">
    <w:name w:val="Hyperlink"/>
    <w:basedOn w:val="a0"/>
    <w:rsid w:val="00556CCD"/>
    <w:rPr>
      <w:color w:val="000080"/>
      <w:u w:val="single"/>
    </w:rPr>
  </w:style>
  <w:style w:type="character" w:customStyle="1" w:styleId="a6">
    <w:name w:val="Основной текст_"/>
    <w:basedOn w:val="a0"/>
    <w:link w:val="4"/>
    <w:rsid w:val="00556C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556C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6"/>
    <w:rsid w:val="00556CC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">
    <w:name w:val="Основной текст3"/>
    <w:basedOn w:val="a6"/>
    <w:rsid w:val="00556CC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">
    <w:name w:val="Заголовок №1"/>
    <w:basedOn w:val="a0"/>
    <w:rsid w:val="00556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6"/>
    <w:rsid w:val="00556CCD"/>
    <w:pPr>
      <w:widowControl w:val="0"/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Unresolved Mention"/>
    <w:basedOn w:val="a0"/>
    <w:uiPriority w:val="99"/>
    <w:semiHidden/>
    <w:unhideWhenUsed/>
    <w:rsid w:val="008D4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st-region.gov.by/index.php/fond-brestoblimushchestvo" TargetMode="External"/><Relationship Id="rId5" Type="http://schemas.openxmlformats.org/officeDocument/2006/relationships/hyperlink" Target="http://www.bcse.by/ru/participants/memberslist/340" TargetMode="External"/><Relationship Id="rId4" Type="http://schemas.openxmlformats.org/officeDocument/2006/relationships/hyperlink" Target="http://www.bcse.by/ru/participants/memberslist/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kleshtornyj_ev</cp:lastModifiedBy>
  <cp:revision>2</cp:revision>
  <cp:lastPrinted>2018-05-30T13:05:00Z</cp:lastPrinted>
  <dcterms:created xsi:type="dcterms:W3CDTF">2020-06-01T08:37:00Z</dcterms:created>
  <dcterms:modified xsi:type="dcterms:W3CDTF">2020-06-01T08:37:00Z</dcterms:modified>
</cp:coreProperties>
</file>